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  <w:t>研究生第二导师聘任网上系统操作流程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更新日期：2019年10月15日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根据《华南农业大学研究生导师管理办法》（华南农办【2017】26号）文件第五条规定，研究生第二导师聘任应在学位论文开题前完成。非全日制专业学位研究生应聘任校外第二导师，全日制专业学位研究生提倡聘任校外第二导师，第二导师聘任具体要求按各学院制定的聘任方案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为规范管理，实行校内外第二导师统一纳入系统管理，确保数据的准确对接，研究生第二导师聘任实行网上系统办理，操作流程如下：</w:t>
      </w:r>
    </w:p>
    <w:p>
      <w:pPr>
        <w:jc w:val="center"/>
        <w:rPr>
          <w:rFonts w:hint="eastAsia" w:ascii="黑体" w:hAnsi="宋体" w:eastAsia="黑体" w:cs="宋体"/>
          <w:kern w:val="0"/>
          <w:sz w:val="24"/>
          <w:szCs w:val="24"/>
          <w:lang w:eastAsia="zh-CN"/>
        </w:rPr>
      </w:pPr>
    </w:p>
    <w:p>
      <w:pPr>
        <w:jc w:val="center"/>
        <w:rPr>
          <w:rFonts w:ascii="黑体" w:eastAsia="黑体"/>
        </w:rPr>
      </w:pP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流程：研究生申请</w:t>
      </w:r>
      <w:r>
        <w:rPr>
          <w:rFonts w:hint="eastAsia" w:ascii="黑体" w:hAnsi="宋体" w:eastAsia="黑体" w:cs="宋体"/>
          <w:kern w:val="0"/>
          <w:sz w:val="24"/>
          <w:szCs w:val="24"/>
        </w:rPr>
        <w:sym w:font="Wingdings" w:char="F0E8"/>
      </w: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研究生第一导师选</w:t>
      </w:r>
      <w:r>
        <w:rPr>
          <w:rFonts w:hint="eastAsia" w:ascii="黑体" w:hAnsi="宋体" w:eastAsia="黑体" w:cs="宋体"/>
          <w:kern w:val="0"/>
          <w:sz w:val="24"/>
          <w:szCs w:val="24"/>
          <w:lang w:val="en-US" w:eastAsia="zh-CN"/>
        </w:rPr>
        <w:t>定第二导师并审核</w:t>
      </w:r>
      <w:r>
        <w:rPr>
          <w:rFonts w:hint="eastAsia" w:ascii="黑体" w:hAnsi="宋体" w:eastAsia="黑体" w:cs="宋体"/>
          <w:kern w:val="0"/>
          <w:sz w:val="24"/>
          <w:szCs w:val="24"/>
        </w:rPr>
        <w:sym w:font="Wingdings" w:char="F0E8"/>
      </w: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学院审核</w:t>
      </w:r>
      <w:r>
        <w:rPr>
          <w:rFonts w:hint="eastAsia" w:ascii="黑体" w:hAnsi="宋体" w:eastAsia="黑体" w:cs="宋体"/>
          <w:kern w:val="0"/>
          <w:sz w:val="24"/>
          <w:szCs w:val="24"/>
        </w:rPr>
        <w:sym w:font="Wingdings" w:char="F0E8"/>
      </w: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研究生院学位办审核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562" w:firstLineChars="200"/>
        <w:textAlignment w:val="auto"/>
        <w:outlineLvl w:val="1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研究生申请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jc w:val="left"/>
        <w:textAlignment w:val="auto"/>
        <w:outlineLvl w:val="1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登录“研究生教育管理系统”，点击“其他→第二导师申请管理→申请”（图1，图2）。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43685" cy="1536700"/>
            <wp:effectExtent l="0" t="0" r="10795" b="2540"/>
            <wp:docPr id="1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17590" cy="896620"/>
            <wp:effectExtent l="0" t="0" r="8890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图2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研究生第一导师选定第二导师名单并审核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第二导师聘任申请需要提交相关纸质材料的，按本学院要求提交至学院保存。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（一）选定第二导师名单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研究生第一导师登录“研究生教育管理系统”，点击“导师→学生培养指导→学生二导审核管理”（图3），可根据情况按以下3种方式之一操作：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44895" cy="1447800"/>
            <wp:effectExtent l="0" t="0" r="1206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点击“选择”，在“关键字”中输入姓名或工号（校外导师为编号）查找名单，点击绿色按钮确认（图4），选定第二导师名单后，再点击右边绿色图标，完成二导申请审核（图5）。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06135" cy="1478280"/>
            <wp:effectExtent l="0" t="0" r="698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12765" cy="598805"/>
            <wp:effectExtent l="0" t="0" r="10795" b="1079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如果按姓名或工号（编号）查找不到名单的，校内人员和校外人员按不同方式进行。第二导师为校内人员的，请将信息（工号、姓名、性别、出生所月、工作单位）报学位办，由学位办将教师添加到系统后按第1.方式进行，第二导师为校外人员的，点击“添加”，输入新增加的第二导师的所有信息并保存（图6），再点击右边绿色图标，完成二导申请审核（图5）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41745" cy="2496185"/>
            <wp:effectExtent l="0" t="0" r="13335" b="31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1745" cy="2496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如果需添加的第二导师名单较多或者第二导师由学院统一聘任的，可由学院按《学院研究生第二导师信息汇总表》（表格可在研究生院网页“资料下载”中下载）报研究生院学位办，由学位办统一将信息导入系统后，再按方式1的操作方法进行选定及审核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三、学院审核第二导师信息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对照本学院第二导师聘任方案，审核拟聘任导师信息是否符合要求。可通过单个学生记录审核（图7）或多个学生批量审核（图8）。需要提交相关申请材料的请在学院公布提交的要求。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12485" cy="1030605"/>
            <wp:effectExtent l="0" t="0" r="635" b="5715"/>
            <wp:docPr id="12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图7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30900" cy="976630"/>
            <wp:effectExtent l="0" t="0" r="12700" b="13970"/>
            <wp:docPr id="14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图8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聘任结果查看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研究生及导师登录系统可查看到第二导师的聘任结果。审核通过的，校内外第二导师名单均可在系统中显示。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ab/>
      </w:r>
    </w:p>
    <w:sectPr>
      <w:footerReference r:id="rId3" w:type="default"/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27F29B"/>
    <w:multiLevelType w:val="singleLevel"/>
    <w:tmpl w:val="EC27F2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A85448"/>
    <w:multiLevelType w:val="singleLevel"/>
    <w:tmpl w:val="08A854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7D19D1"/>
    <w:multiLevelType w:val="singleLevel"/>
    <w:tmpl w:val="537D19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30E062"/>
    <w:multiLevelType w:val="singleLevel"/>
    <w:tmpl w:val="7930E06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96A98"/>
    <w:rsid w:val="04B904AD"/>
    <w:rsid w:val="10E7001A"/>
    <w:rsid w:val="11C53783"/>
    <w:rsid w:val="12496A98"/>
    <w:rsid w:val="12CE24D0"/>
    <w:rsid w:val="14820CB7"/>
    <w:rsid w:val="1C142D7E"/>
    <w:rsid w:val="1D9F7BE5"/>
    <w:rsid w:val="1FB61AE9"/>
    <w:rsid w:val="1FDD3171"/>
    <w:rsid w:val="209440CF"/>
    <w:rsid w:val="21065F8B"/>
    <w:rsid w:val="226D25F8"/>
    <w:rsid w:val="245B665A"/>
    <w:rsid w:val="34106FF5"/>
    <w:rsid w:val="34491E11"/>
    <w:rsid w:val="35CC2434"/>
    <w:rsid w:val="375B121E"/>
    <w:rsid w:val="37827249"/>
    <w:rsid w:val="3E2C1B2B"/>
    <w:rsid w:val="3E5C0CE8"/>
    <w:rsid w:val="3FF625BA"/>
    <w:rsid w:val="45BC419C"/>
    <w:rsid w:val="45DD44F7"/>
    <w:rsid w:val="47A74B8E"/>
    <w:rsid w:val="4A9077AB"/>
    <w:rsid w:val="4B8452CF"/>
    <w:rsid w:val="4D6857C1"/>
    <w:rsid w:val="4F207788"/>
    <w:rsid w:val="5136006F"/>
    <w:rsid w:val="53386FEA"/>
    <w:rsid w:val="535D2E76"/>
    <w:rsid w:val="540C2619"/>
    <w:rsid w:val="55C44DB1"/>
    <w:rsid w:val="55FC1246"/>
    <w:rsid w:val="5A5E65BA"/>
    <w:rsid w:val="5A8318F9"/>
    <w:rsid w:val="5ED01BEA"/>
    <w:rsid w:val="60ED30FB"/>
    <w:rsid w:val="63074937"/>
    <w:rsid w:val="65AF79BD"/>
    <w:rsid w:val="686C7191"/>
    <w:rsid w:val="69481ACE"/>
    <w:rsid w:val="697B3BE2"/>
    <w:rsid w:val="698B79CD"/>
    <w:rsid w:val="6D606498"/>
    <w:rsid w:val="6D692789"/>
    <w:rsid w:val="787D7E1B"/>
    <w:rsid w:val="78A61B25"/>
    <w:rsid w:val="7B5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08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2018-12-03T08:39:00Z</dcterms:created>
  <dc:creator>lbs</dc:creator>
  <cp:lastModifiedBy>USER</cp:lastModifiedBy>
  <dcterms:modified xsi:type="dcterms:W3CDTF">2019-10-15T08:35:10Z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KSORubyTemplateID" linkTarget="0">
    <vt:lpwstr>6</vt:lpwstr>
  </property>
</Properties>
</file>