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jc w:val="center"/>
        <w:outlineLvl w:val="0"/>
        <w:rPr>
          <w:rFonts w:hint="default" w:ascii="Times New Roman" w:hAnsi="Times New Roman" w:eastAsia="方正小标宋简体" w:cs="Times New Roman"/>
          <w:color w:val="5E370C"/>
          <w:kern w:val="0"/>
          <w:sz w:val="44"/>
          <w:szCs w:val="44"/>
          <w:shd w:val="clear" w:fill="F9F9F9"/>
          <w:lang w:val="en-US"/>
        </w:rPr>
      </w:pPr>
      <w:bookmarkStart w:id="0" w:name="_GoBack"/>
      <w:r>
        <w:rPr>
          <w:rFonts w:hint="default" w:ascii="Times New Roman" w:hAnsi="Times New Roman" w:eastAsia="方正小标宋简体" w:cs="Times New Roman"/>
          <w:color w:val="5E370C"/>
          <w:kern w:val="0"/>
          <w:sz w:val="44"/>
          <w:szCs w:val="44"/>
          <w:shd w:val="clear" w:fill="F9F9F9"/>
          <w:lang w:val="en-US" w:eastAsia="zh-CN" w:bidi="ar"/>
        </w:rPr>
        <w:t>华南农业大学研究生发表论文奖励办法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_GB2312" w:hAnsi="宋体" w:eastAsia="仿宋_GB2312" w:cs="仿宋_GB2312"/>
          <w:color w:val="5E370C"/>
          <w:sz w:val="32"/>
          <w:szCs w:val="24"/>
          <w:shd w:val="clear" w:fill="F9F9F9"/>
          <w:lang w:val="en-US"/>
        </w:rPr>
      </w:pPr>
      <w:r>
        <w:rPr>
          <w:rFonts w:ascii="仿宋_GB2312" w:hAnsi="宋体" w:eastAsia="仿宋_GB2312" w:cs="仿宋_GB2312"/>
          <w:color w:val="5E370C"/>
          <w:kern w:val="0"/>
          <w:sz w:val="32"/>
          <w:szCs w:val="24"/>
          <w:shd w:val="clear" w:fill="F9F9F9"/>
          <w:lang w:val="en-US" w:eastAsia="zh-CN" w:bidi="ar"/>
        </w:rPr>
        <w:t>华南农办〔</w:t>
      </w:r>
      <w:r>
        <w:rPr>
          <w:rFonts w:hint="eastAsia" w:ascii="仿宋_GB2312" w:hAnsi="宋体" w:eastAsia="仿宋_GB2312" w:cs="仿宋_GB2312"/>
          <w:color w:val="5E370C"/>
          <w:kern w:val="0"/>
          <w:sz w:val="32"/>
          <w:szCs w:val="24"/>
          <w:shd w:val="clear" w:fill="F9F9F9"/>
          <w:lang w:val="en-US" w:eastAsia="zh-CN" w:bidi="ar"/>
        </w:rPr>
        <w:t>2014〕105号</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仿宋_GB2312" w:hAnsi="仿宋" w:eastAsia="仿宋_GB2312" w:cs="仿宋_GB2312"/>
          <w:color w:val="000000"/>
          <w:kern w:val="0"/>
          <w:sz w:val="32"/>
          <w:szCs w:val="32"/>
          <w:shd w:val="clear" w:fill="F9F9F9"/>
          <w:lang w:val="en-US"/>
        </w:rPr>
      </w:pPr>
      <w:r>
        <w:rPr>
          <w:rFonts w:hint="eastAsia" w:ascii="仿宋_GB2312" w:hAnsi="仿宋" w:eastAsia="仿宋_GB2312" w:cs="仿宋_GB2312"/>
          <w:color w:val="000000"/>
          <w:kern w:val="0"/>
          <w:sz w:val="32"/>
          <w:szCs w:val="32"/>
          <w:shd w:val="clear" w:fill="F9F9F9"/>
          <w:lang w:val="en-US" w:eastAsia="zh-CN" w:bidi="ar"/>
        </w:rPr>
        <w:t>为进一步提高我校研究生的科研能力，鼓励其发表高质量的学术论文，</w:t>
      </w:r>
      <w:r>
        <w:rPr>
          <w:rFonts w:hint="eastAsia" w:ascii="仿宋_GB2312" w:hAnsi="仿宋" w:eastAsia="仿宋_GB2312" w:cs="仿宋_GB2312"/>
          <w:color w:val="5E370C"/>
          <w:kern w:val="0"/>
          <w:sz w:val="32"/>
          <w:szCs w:val="32"/>
          <w:shd w:val="clear" w:fill="F9F9F9"/>
          <w:lang w:val="en-US" w:eastAsia="zh-CN" w:bidi="ar"/>
        </w:rPr>
        <w:t>提升我校研究生学位论文质量，进而</w:t>
      </w:r>
      <w:r>
        <w:rPr>
          <w:rFonts w:hint="eastAsia" w:ascii="仿宋_GB2312" w:hAnsi="仿宋" w:eastAsia="仿宋_GB2312" w:cs="仿宋_GB2312"/>
          <w:color w:val="000000"/>
          <w:kern w:val="0"/>
          <w:sz w:val="32"/>
          <w:szCs w:val="32"/>
          <w:shd w:val="clear" w:fill="F9F9F9"/>
          <w:lang w:val="en-US" w:eastAsia="zh-CN" w:bidi="ar"/>
        </w:rPr>
        <w:t>促进我校研究生培养质量的整体提高，学校决定对研究生科研工作发表的论文予以奖励，特制定本办法。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黑体" w:hAnsi="仿宋" w:eastAsia="黑体" w:cs="黑体"/>
          <w:color w:val="5E370C"/>
          <w:kern w:val="0"/>
          <w:sz w:val="32"/>
          <w:szCs w:val="32"/>
          <w:shd w:val="clear" w:fill="F9F9F9"/>
          <w:lang w:val="en-US"/>
        </w:rPr>
      </w:pPr>
      <w:r>
        <w:rPr>
          <w:rFonts w:ascii="黑体" w:hAnsi="仿宋" w:eastAsia="黑体" w:cs="黑体"/>
          <w:color w:val="5E370C"/>
          <w:kern w:val="0"/>
          <w:sz w:val="32"/>
          <w:szCs w:val="32"/>
          <w:shd w:val="clear" w:fill="F9F9F9"/>
          <w:lang w:val="en-US" w:eastAsia="zh-CN" w:bidi="ar"/>
        </w:rPr>
        <w:t>一、论文奖励条件</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仿宋_GB2312" w:hAnsi="仿宋" w:eastAsia="仿宋_GB2312" w:cs="仿宋_GB2312"/>
          <w:color w:val="5E370C"/>
          <w:kern w:val="0"/>
          <w:sz w:val="32"/>
          <w:szCs w:val="32"/>
          <w:shd w:val="clear" w:fill="F9F9F9"/>
          <w:lang w:val="en-US"/>
        </w:rPr>
      </w:pPr>
      <w:r>
        <w:rPr>
          <w:rFonts w:hint="eastAsia" w:ascii="仿宋_GB2312" w:hAnsi="仿宋" w:eastAsia="仿宋_GB2312" w:cs="仿宋_GB2312"/>
          <w:color w:val="5E370C"/>
          <w:kern w:val="0"/>
          <w:sz w:val="32"/>
          <w:szCs w:val="32"/>
          <w:shd w:val="clear" w:fill="F9F9F9"/>
          <w:lang w:val="en-US" w:eastAsia="zh-CN" w:bidi="ar"/>
        </w:rPr>
        <w:t>（一）奖励对象为我校在学及毕业的研究生，且是发表论文的第一作者,如有多名并列第一作者，应排名首位。如有责任作者，责任作者应为华南农业大学的研究生导师。</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仿宋_GB2312" w:hAnsi="仿宋" w:eastAsia="仿宋_GB2312" w:cs="仿宋_GB2312"/>
          <w:color w:val="5E370C"/>
          <w:kern w:val="0"/>
          <w:sz w:val="32"/>
          <w:szCs w:val="32"/>
          <w:shd w:val="clear" w:fill="F9F9F9"/>
          <w:lang w:val="en-US"/>
        </w:rPr>
      </w:pPr>
      <w:r>
        <w:rPr>
          <w:rFonts w:hint="eastAsia" w:ascii="仿宋_GB2312" w:hAnsi="仿宋" w:eastAsia="仿宋_GB2312" w:cs="仿宋_GB2312"/>
          <w:color w:val="5E370C"/>
          <w:kern w:val="0"/>
          <w:sz w:val="32"/>
          <w:szCs w:val="32"/>
          <w:shd w:val="clear" w:fill="F9F9F9"/>
          <w:lang w:val="en-US" w:eastAsia="zh-CN" w:bidi="ar"/>
        </w:rPr>
        <w:t>（二）第一作者和责任作者的第一署名单位应为“华南农业大学（South China Agricultural University）”。</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仿宋_GB2312" w:hAnsi="仿宋" w:eastAsia="仿宋_GB2312" w:cs="仿宋_GB2312"/>
          <w:color w:val="5E370C"/>
          <w:kern w:val="0"/>
          <w:sz w:val="32"/>
          <w:szCs w:val="32"/>
          <w:shd w:val="clear" w:fill="F9F9F9"/>
          <w:lang w:val="en-US"/>
        </w:rPr>
      </w:pPr>
      <w:r>
        <w:rPr>
          <w:rFonts w:hint="eastAsia" w:ascii="仿宋_GB2312" w:hAnsi="仿宋" w:eastAsia="仿宋_GB2312" w:cs="仿宋_GB2312"/>
          <w:color w:val="5E370C"/>
          <w:kern w:val="0"/>
          <w:sz w:val="32"/>
          <w:szCs w:val="32"/>
          <w:shd w:val="clear" w:fill="F9F9F9"/>
          <w:lang w:val="en-US" w:eastAsia="zh-CN" w:bidi="ar"/>
        </w:rPr>
        <w:t>（三）论文发表时间（含网络在线发表）应为在学期间及毕业后一年内（含一年，计算精确到月）。</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黑体" w:hAnsi="仿宋" w:eastAsia="黑体" w:cs="黑体"/>
          <w:color w:val="5E370C"/>
          <w:kern w:val="0"/>
          <w:sz w:val="32"/>
          <w:szCs w:val="32"/>
          <w:shd w:val="clear" w:fill="F9F9F9"/>
          <w:lang w:val="en-US"/>
        </w:rPr>
      </w:pPr>
      <w:r>
        <w:rPr>
          <w:rFonts w:hint="eastAsia" w:ascii="黑体" w:hAnsi="仿宋" w:eastAsia="黑体" w:cs="黑体"/>
          <w:color w:val="5E370C"/>
          <w:kern w:val="0"/>
          <w:sz w:val="32"/>
          <w:szCs w:val="32"/>
          <w:shd w:val="clear" w:fill="F9F9F9"/>
          <w:lang w:val="en-US" w:eastAsia="zh-CN" w:bidi="ar"/>
        </w:rPr>
        <w:t>二、奖励标准及要求</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仿宋_GB2312" w:hAnsi="仿宋" w:eastAsia="仿宋_GB2312" w:cs="仿宋_GB2312"/>
          <w:color w:val="5E370C"/>
          <w:kern w:val="0"/>
          <w:sz w:val="32"/>
          <w:szCs w:val="32"/>
          <w:shd w:val="clear" w:fill="F9F9F9"/>
          <w:lang w:val="en-US"/>
        </w:rPr>
      </w:pPr>
      <w:r>
        <w:rPr>
          <w:rFonts w:hint="eastAsia" w:ascii="仿宋_GB2312" w:hAnsi="仿宋" w:eastAsia="仿宋_GB2312" w:cs="仿宋_GB2312"/>
          <w:color w:val="5E370C"/>
          <w:kern w:val="0"/>
          <w:sz w:val="32"/>
          <w:szCs w:val="32"/>
          <w:shd w:val="clear" w:fill="F9F9F9"/>
          <w:lang w:val="en-US" w:eastAsia="zh-CN" w:bidi="ar"/>
        </w:rPr>
        <w:t>SCI、SSCI、A&amp;HCI和EI论文奖励范围为Article、Review、 Letters、Editorial 四种类型，除此以外的Proceedings Abstract、 News Item、 Correction等不在奖励范围之内。自然科学类的Article论文，必须有完整结构要素（即含题目、研究背景、研究方法、研究结果、讨论与结论、参考文献等部分）。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仿宋_GB2312" w:hAnsi="仿宋" w:eastAsia="仿宋_GB2312" w:cs="仿宋_GB2312"/>
          <w:color w:val="5E370C"/>
          <w:kern w:val="0"/>
          <w:sz w:val="32"/>
          <w:szCs w:val="32"/>
          <w:shd w:val="clear" w:fill="F9F9F9"/>
          <w:lang w:val="en-US"/>
        </w:rPr>
      </w:pPr>
      <w:r>
        <w:rPr>
          <w:rFonts w:hint="eastAsia" w:ascii="仿宋_GB2312" w:hAnsi="仿宋" w:eastAsia="仿宋_GB2312" w:cs="仿宋_GB2312"/>
          <w:color w:val="5E370C"/>
          <w:kern w:val="0"/>
          <w:sz w:val="32"/>
          <w:szCs w:val="32"/>
          <w:shd w:val="clear" w:fill="F9F9F9"/>
          <w:lang w:val="en-US" w:eastAsia="zh-CN" w:bidi="ar"/>
        </w:rPr>
        <w:t>（一）SCI论文</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仿宋_GB2312" w:hAnsi="仿宋" w:eastAsia="仿宋_GB2312" w:cs="仿宋_GB2312"/>
          <w:color w:val="5E370C"/>
          <w:kern w:val="0"/>
          <w:sz w:val="32"/>
          <w:szCs w:val="32"/>
          <w:shd w:val="clear" w:fill="F9F9F9"/>
          <w:lang w:val="en-US"/>
        </w:rPr>
      </w:pPr>
      <w:r>
        <w:rPr>
          <w:rFonts w:hint="eastAsia" w:ascii="仿宋_GB2312" w:hAnsi="仿宋" w:eastAsia="仿宋_GB2312" w:cs="仿宋_GB2312"/>
          <w:color w:val="5E370C"/>
          <w:kern w:val="0"/>
          <w:sz w:val="32"/>
          <w:szCs w:val="32"/>
          <w:shd w:val="clear" w:fill="F9F9F9"/>
          <w:lang w:val="en-US" w:eastAsia="zh-CN" w:bidi="ar"/>
        </w:rPr>
        <w:t>1、奖励额度根据该刊物分区并结合其影响因子（IF）予以奖励：一区论文每篇奖励0.6×IF（万元），二区论文每篇奖励0.4</w:t>
      </w:r>
      <w:r>
        <w:rPr>
          <w:rFonts w:hint="eastAsia" w:ascii="仿宋_GB2312" w:hAnsi="Symbol" w:eastAsia="仿宋_GB2312" w:cs="仿宋_GB2312"/>
          <w:color w:val="5E370C"/>
          <w:kern w:val="0"/>
          <w:sz w:val="32"/>
          <w:szCs w:val="32"/>
          <w:shd w:val="clear" w:fill="F9F9F9"/>
          <w:lang w:val="en-US" w:eastAsia="zh-CN" w:bidi="ar"/>
        </w:rPr>
        <w:t>×</w:t>
      </w:r>
      <w:r>
        <w:rPr>
          <w:rFonts w:hint="eastAsia" w:ascii="仿宋_GB2312" w:hAnsi="仿宋" w:eastAsia="仿宋_GB2312" w:cs="仿宋_GB2312"/>
          <w:color w:val="5E370C"/>
          <w:kern w:val="0"/>
          <w:sz w:val="32"/>
          <w:szCs w:val="32"/>
          <w:shd w:val="clear" w:fill="F9F9F9"/>
          <w:lang w:val="en-US" w:eastAsia="zh-CN" w:bidi="ar"/>
        </w:rPr>
        <w:t>IF（万元），三区论文每篇奖励0.3×IF（万元），四区论文每篇奖励0.1×IF（万元）,奖励金额不足0.1万元的，按0.1万元计。论文类型为Article的基因组序列通告，奖励0.1万元。分区按JCR最新SCI论文大类分区计，IF按五年影响因子（IF5-year）计，若无IF5-year，按最新影响因子计。</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仿宋_GB2312" w:hAnsi="仿宋" w:eastAsia="仿宋_GB2312" w:cs="仿宋_GB2312"/>
          <w:color w:val="5E370C"/>
          <w:kern w:val="0"/>
          <w:sz w:val="32"/>
          <w:szCs w:val="32"/>
          <w:shd w:val="clear" w:fill="F9F9F9"/>
          <w:lang w:val="en-US"/>
        </w:rPr>
      </w:pPr>
      <w:r>
        <w:rPr>
          <w:rFonts w:hint="eastAsia" w:ascii="仿宋_GB2312" w:hAnsi="仿宋" w:eastAsia="仿宋_GB2312" w:cs="仿宋_GB2312"/>
          <w:color w:val="5E370C"/>
          <w:kern w:val="0"/>
          <w:sz w:val="32"/>
          <w:szCs w:val="32"/>
          <w:shd w:val="clear" w:fill="F9F9F9"/>
          <w:lang w:val="en-US" w:eastAsia="zh-CN" w:bidi="ar"/>
        </w:rPr>
        <w:t>2、以下类型论文折半奖励：普通Letters论文（发表在IF≥25的国际顶尖刊物除外）；Correspondence, Communication, Briefs论文；结构要素不完整或结构要素完整但研究结果过于简单的论文。</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仿宋_GB2312" w:hAnsi="仿宋" w:eastAsia="仿宋_GB2312" w:cs="仿宋_GB2312"/>
          <w:color w:val="5E370C"/>
          <w:kern w:val="0"/>
          <w:sz w:val="32"/>
          <w:szCs w:val="32"/>
          <w:shd w:val="clear" w:fill="F9F9F9"/>
          <w:lang w:val="en-US"/>
        </w:rPr>
      </w:pPr>
      <w:r>
        <w:rPr>
          <w:rFonts w:hint="eastAsia" w:ascii="仿宋_GB2312" w:hAnsi="仿宋" w:eastAsia="仿宋_GB2312" w:cs="仿宋_GB2312"/>
          <w:color w:val="5E370C"/>
          <w:kern w:val="0"/>
          <w:sz w:val="32"/>
          <w:szCs w:val="32"/>
          <w:shd w:val="clear" w:fill="F9F9F9"/>
          <w:lang w:val="en-US" w:eastAsia="zh-CN" w:bidi="ar"/>
        </w:rPr>
        <w:t>（二）EI（美国《工程索引》）正式期刊论文每篇奖励0.2万元。</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仿宋_GB2312" w:hAnsi="仿宋" w:eastAsia="仿宋_GB2312" w:cs="仿宋_GB2312"/>
          <w:color w:val="5E370C"/>
          <w:kern w:val="0"/>
          <w:sz w:val="32"/>
          <w:szCs w:val="32"/>
          <w:shd w:val="clear" w:fill="F9F9F9"/>
          <w:lang w:val="en-US"/>
        </w:rPr>
      </w:pPr>
      <w:r>
        <w:rPr>
          <w:rFonts w:hint="eastAsia" w:ascii="仿宋_GB2312" w:hAnsi="仿宋" w:eastAsia="仿宋_GB2312" w:cs="仿宋_GB2312"/>
          <w:color w:val="5E370C"/>
          <w:kern w:val="0"/>
          <w:sz w:val="32"/>
          <w:szCs w:val="32"/>
          <w:shd w:val="clear" w:fill="F9F9F9"/>
          <w:lang w:val="en-US" w:eastAsia="zh-CN" w:bidi="ar"/>
        </w:rPr>
        <w:t>（三）SSCI、A&amp;HCI（《艺术人文科学引文索引》）论文每篇奖励1万元；人文社科类一级中文学术刊物且为CSSCI期刊，每篇奖励0.5万元；其他CSSCI期刊，每篇奖励0.1万元。一级中文学术刊物界定按学校当年职称评定条例中的标准执行，CSSCI论文不含扩展版刊物论文。</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仿宋_GB2312" w:hAnsi="仿宋" w:eastAsia="仿宋_GB2312" w:cs="仿宋_GB2312"/>
          <w:color w:val="5E370C"/>
          <w:kern w:val="0"/>
          <w:sz w:val="32"/>
          <w:szCs w:val="32"/>
          <w:shd w:val="clear" w:fill="F9F9F9"/>
          <w:lang w:val="en-US"/>
        </w:rPr>
      </w:pPr>
      <w:r>
        <w:rPr>
          <w:rFonts w:hint="eastAsia" w:ascii="仿宋_GB2312" w:hAnsi="仿宋" w:eastAsia="仿宋_GB2312" w:cs="仿宋_GB2312"/>
          <w:color w:val="5E370C"/>
          <w:kern w:val="0"/>
          <w:sz w:val="32"/>
          <w:szCs w:val="32"/>
          <w:shd w:val="clear" w:fill="F9F9F9"/>
          <w:lang w:val="en-US" w:eastAsia="zh-CN" w:bidi="ar"/>
        </w:rPr>
        <w:t>（四）每篇奖金采取四舍五入精确到百元计算。</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黑体" w:hAnsi="仿宋" w:eastAsia="黑体" w:cs="黑体"/>
          <w:color w:val="5E370C"/>
          <w:kern w:val="0"/>
          <w:sz w:val="32"/>
          <w:szCs w:val="32"/>
          <w:shd w:val="clear" w:fill="F9F9F9"/>
          <w:lang w:val="en-US"/>
        </w:rPr>
      </w:pPr>
      <w:r>
        <w:rPr>
          <w:rFonts w:hint="eastAsia" w:ascii="黑体" w:hAnsi="仿宋" w:eastAsia="黑体" w:cs="黑体"/>
          <w:color w:val="5E370C"/>
          <w:kern w:val="0"/>
          <w:sz w:val="32"/>
          <w:szCs w:val="32"/>
          <w:shd w:val="clear" w:fill="F9F9F9"/>
          <w:lang w:val="en-US" w:eastAsia="zh-CN" w:bidi="ar"/>
        </w:rPr>
        <w:t>三、奖金分配</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仿宋_GB2312" w:hAnsi="仿宋" w:eastAsia="仿宋_GB2312" w:cs="仿宋_GB2312"/>
          <w:color w:val="5E370C"/>
          <w:kern w:val="0"/>
          <w:sz w:val="32"/>
          <w:szCs w:val="32"/>
          <w:shd w:val="clear" w:fill="F9F9F9"/>
          <w:lang w:val="en-US"/>
        </w:rPr>
      </w:pPr>
      <w:r>
        <w:rPr>
          <w:rFonts w:hint="eastAsia" w:ascii="仿宋_GB2312" w:hAnsi="仿宋" w:eastAsia="仿宋_GB2312" w:cs="仿宋_GB2312"/>
          <w:color w:val="5E370C"/>
          <w:kern w:val="0"/>
          <w:sz w:val="32"/>
          <w:szCs w:val="32"/>
          <w:shd w:val="clear" w:fill="F9F9F9"/>
          <w:lang w:val="en-US" w:eastAsia="zh-CN" w:bidi="ar"/>
        </w:rPr>
        <w:t>如获奖论文作者中包含多名本校研究生，可由申请者导师根据研究生的实际贡献大小进行二次分配。</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黑体" w:hAnsi="仿宋" w:eastAsia="黑体" w:cs="黑体"/>
          <w:color w:val="5E370C"/>
          <w:kern w:val="0"/>
          <w:sz w:val="32"/>
          <w:szCs w:val="32"/>
          <w:shd w:val="clear" w:fill="F9F9F9"/>
          <w:lang w:val="en-US"/>
        </w:rPr>
      </w:pPr>
      <w:r>
        <w:rPr>
          <w:rFonts w:hint="eastAsia" w:ascii="黑体" w:hAnsi="仿宋" w:eastAsia="黑体" w:cs="黑体"/>
          <w:color w:val="5E370C"/>
          <w:kern w:val="0"/>
          <w:sz w:val="32"/>
          <w:szCs w:val="32"/>
          <w:shd w:val="clear" w:fill="F9F9F9"/>
          <w:lang w:val="en-US" w:eastAsia="zh-CN" w:bidi="ar"/>
        </w:rPr>
        <w:t>四、申报办法</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仿宋_GB2312" w:hAnsi="仿宋" w:eastAsia="仿宋_GB2312" w:cs="仿宋_GB2312"/>
          <w:color w:val="5E370C"/>
          <w:kern w:val="0"/>
          <w:sz w:val="32"/>
          <w:szCs w:val="32"/>
          <w:shd w:val="clear" w:fill="F9F9F9"/>
          <w:lang w:val="en-US"/>
        </w:rPr>
      </w:pPr>
      <w:r>
        <w:rPr>
          <w:rFonts w:hint="eastAsia" w:ascii="仿宋_GB2312" w:hAnsi="仿宋" w:eastAsia="仿宋_GB2312" w:cs="仿宋_GB2312"/>
          <w:color w:val="5E370C"/>
          <w:kern w:val="0"/>
          <w:sz w:val="32"/>
          <w:szCs w:val="32"/>
          <w:shd w:val="clear" w:fill="F9F9F9"/>
          <w:lang w:val="en-US" w:eastAsia="zh-CN" w:bidi="ar"/>
        </w:rPr>
        <w:t>申报工作每年进行一次，符合奖励要求的论文作者可向研究生院报送发表的论文及相关证明材料。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黑体" w:hAnsi="仿宋" w:eastAsia="黑体" w:cs="黑体"/>
          <w:color w:val="5E370C"/>
          <w:kern w:val="0"/>
          <w:sz w:val="32"/>
          <w:szCs w:val="32"/>
          <w:shd w:val="clear" w:fill="F9F9F9"/>
          <w:lang w:val="en-US"/>
        </w:rPr>
      </w:pPr>
      <w:r>
        <w:rPr>
          <w:rFonts w:hint="eastAsia" w:ascii="黑体" w:hAnsi="仿宋" w:eastAsia="黑体" w:cs="黑体"/>
          <w:color w:val="5E370C"/>
          <w:kern w:val="0"/>
          <w:sz w:val="32"/>
          <w:szCs w:val="32"/>
          <w:shd w:val="clear" w:fill="F9F9F9"/>
          <w:lang w:val="en-US" w:eastAsia="zh-CN" w:bidi="ar"/>
        </w:rPr>
        <w:t>五、本办法由研究生院负责解释</w:t>
      </w:r>
      <w:r>
        <w:rPr>
          <w:rFonts w:hint="eastAsia" w:ascii="仿宋_GB2312" w:hAnsi="仿宋" w:eastAsia="仿宋_GB2312" w:cs="仿宋_GB2312"/>
          <w:color w:val="5E370C"/>
          <w:kern w:val="0"/>
          <w:sz w:val="32"/>
          <w:szCs w:val="32"/>
          <w:shd w:val="clear" w:fill="F9F9F9"/>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exact"/>
        <w:ind w:left="0" w:right="0" w:firstLine="640" w:firstLineChars="200"/>
        <w:jc w:val="left"/>
        <w:rPr>
          <w:rFonts w:hint="eastAsia" w:ascii="黑体" w:hAnsi="仿宋" w:eastAsia="黑体" w:cs="黑体"/>
          <w:color w:val="5E370C"/>
          <w:kern w:val="0"/>
          <w:sz w:val="32"/>
          <w:szCs w:val="32"/>
          <w:shd w:val="clear" w:fill="F9F9F9"/>
          <w:lang w:val="en-US"/>
        </w:rPr>
      </w:pPr>
      <w:r>
        <w:rPr>
          <w:rFonts w:hint="eastAsia" w:ascii="黑体" w:hAnsi="仿宋" w:eastAsia="黑体" w:cs="黑体"/>
          <w:color w:val="5E370C"/>
          <w:kern w:val="0"/>
          <w:sz w:val="32"/>
          <w:szCs w:val="32"/>
          <w:shd w:val="clear" w:fill="F9F9F9"/>
          <w:lang w:val="en-US" w:eastAsia="zh-CN" w:bidi="ar"/>
        </w:rPr>
        <w:t>六、本办法自印发之日起按以下原则执行：2014年及之后发表的论文按本办法执行，原《华南农业大学研究生发表论文奖励办法》（华南农办〔2012〕31号）在2013年及之前发表的论文奖励完成后废止。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left"/>
        <w:rPr>
          <w:rFonts w:hint="eastAsia" w:ascii="仿宋_GB2312" w:hAnsi="华文仿宋" w:eastAsia="仿宋_GB2312" w:cs="仿宋_GB2312"/>
          <w:color w:val="5E370C"/>
          <w:sz w:val="32"/>
          <w:szCs w:val="32"/>
          <w:shd w:val="clear" w:fill="F9F9F9"/>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left"/>
        <w:rPr>
          <w:rFonts w:hint="eastAsia" w:ascii="仿宋_GB2312" w:hAnsi="华文仿宋" w:eastAsia="仿宋_GB2312" w:cs="仿宋_GB2312"/>
          <w:color w:val="5E370C"/>
          <w:sz w:val="32"/>
          <w:szCs w:val="32"/>
          <w:shd w:val="clear" w:fill="F9F9F9"/>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left"/>
        <w:rPr>
          <w:rFonts w:hint="eastAsia" w:ascii="仿宋_GB2312" w:hAnsi="华文仿宋" w:eastAsia="仿宋_GB2312" w:cs="仿宋_GB2312"/>
          <w:color w:val="5E370C"/>
          <w:sz w:val="32"/>
          <w:szCs w:val="32"/>
          <w:shd w:val="clear" w:fill="F9F9F9"/>
          <w:lang w:val="en-US"/>
        </w:rPr>
      </w:pPr>
      <w:r>
        <w:rPr>
          <w:rFonts w:hint="eastAsia" w:ascii="仿宋_GB2312" w:hAnsi="华文仿宋" w:eastAsia="仿宋_GB2312" w:cs="仿宋_GB2312"/>
          <w:color w:val="5E370C"/>
          <w:kern w:val="0"/>
          <w:sz w:val="32"/>
          <w:szCs w:val="32"/>
          <w:shd w:val="clear" w:fill="F9F9F9"/>
          <w:lang w:val="en-US" w:eastAsia="zh-CN" w:bidi="ar"/>
        </w:rPr>
        <w:t>公开方式：主动公开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154" w:rightChars="-73" w:firstLine="320" w:firstLineChars="100"/>
        <w:jc w:val="left"/>
        <w:rPr>
          <w:rFonts w:hint="eastAsia" w:ascii="仿宋_GB2312" w:hAnsi="宋体" w:eastAsia="仿宋_GB2312" w:cs="仿宋_GB2312"/>
          <w:color w:val="5E370C"/>
          <w:sz w:val="32"/>
          <w:szCs w:val="32"/>
          <w:shd w:val="clear" w:fill="F9F9F9"/>
          <w:lang w:val="en-US"/>
        </w:rPr>
      </w:pPr>
      <w:r>
        <w:rPr>
          <w:rFonts w:hint="eastAsia" w:ascii="宋体" w:hAnsi="宋体" w:eastAsia="宋体" w:cs="宋体"/>
          <w:color w:val="5E370C"/>
          <w:kern w:val="0"/>
          <w:sz w:val="24"/>
          <w:szCs w:val="24"/>
          <w:shd w:val="clear" w:fill="F9F9F9"/>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33655</wp:posOffset>
                </wp:positionV>
                <wp:extent cx="5600700" cy="0"/>
                <wp:effectExtent l="0" t="0" r="0" b="0"/>
                <wp:wrapNone/>
                <wp:docPr id="2" name="Line 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 o:spid="_x0000_s1026" o:spt="20" style="position:absolute;left:0pt;margin-left:1.5pt;margin-top:2.65pt;height:0pt;width:441pt;z-index:251661312;mso-width-relative:page;mso-height-relative:page;" filled="f" stroked="t" coordsize="21600,21600" o:gfxdata="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ApedB0gAAAAUBAAAPAAAAAAAAAAEAIAAAACIAAABkcnMvZG93bnJldi54bWxQSwEC&#10;FAAUAAAACACHTuJAxyNfzcEBAACLAwAADgAAAAAAAAABACAAAAAhAQAAZHJzL2Uyb0RvYy54bWxQ&#10;SwUGAAAAAAYABgBZAQAAVAUAAAAA&#10;">
                <v:fill on="f" focussize="0,0"/>
                <v:stroke color="#000000" joinstyle="round"/>
                <v:imagedata o:title=""/>
                <o:lock v:ext="edit" aspectratio="f"/>
              </v:line>
            </w:pict>
          </mc:Fallback>
        </mc:AlternateContent>
      </w:r>
      <w:r>
        <w:rPr>
          <w:rFonts w:hint="eastAsia" w:ascii="宋体" w:hAnsi="宋体" w:eastAsia="宋体" w:cs="宋体"/>
          <w:color w:val="5E370C"/>
          <w:kern w:val="0"/>
          <w:sz w:val="24"/>
          <w:szCs w:val="24"/>
          <w:shd w:val="clear" w:fill="F9F9F9"/>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33655</wp:posOffset>
                </wp:positionV>
                <wp:extent cx="5600700" cy="0"/>
                <wp:effectExtent l="0" t="0" r="0" b="0"/>
                <wp:wrapNone/>
                <wp:docPr id="1" name="Line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 o:spid="_x0000_s1026" o:spt="20" style="position:absolute;left:0pt;margin-left:0.75pt;margin-top:2.65pt;height:0pt;width:441pt;z-index:251660288;mso-width-relative:page;mso-height-relative:page;" filled="f" stroked="t" coordsize="21600,21600" o:gfxdata="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bhc9tEAAAAFAQAADwAAAAAAAAABACAAAAAiAAAAZHJzL2Rvd25yZXYueG1sUEsBAhQA&#10;FAAAAAgAh07iQC4YAPzAAQAAiwMAAA4AAAAAAAAAAQAgAAAAIAEAAGRycy9lMm9Eb2MueG1sUEsF&#10;BgAAAAAGAAYAWQEAAFIFAAAAAA==&#10;">
                <v:fill on="f" focussize="0,0"/>
                <v:stroke color="#000000" joinstyle="round"/>
                <v:imagedata o:title=""/>
                <o:lock v:ext="edit" aspectratio="f"/>
              </v:line>
            </w:pict>
          </mc:Fallback>
        </mc:AlternateContent>
      </w:r>
      <w:r>
        <w:rPr>
          <w:rFonts w:hint="eastAsia" w:ascii="仿宋_GB2312" w:hAnsi="宋体" w:eastAsia="仿宋_GB2312" w:cs="仿宋_GB2312"/>
          <w:color w:val="5E370C"/>
          <w:kern w:val="0"/>
          <w:sz w:val="32"/>
          <w:szCs w:val="32"/>
          <w:shd w:val="clear" w:fill="F9F9F9"/>
          <w:lang w:val="en-US" w:eastAsia="zh-CN" w:bidi="ar"/>
        </w:rPr>
        <w:t xml:space="preserve">华南农业大学校长办公室          </w:t>
      </w:r>
      <w:r>
        <w:rPr>
          <w:rFonts w:hint="default" w:ascii="Times New Roman" w:hAnsi="Times New Roman" w:eastAsia="仿宋_GB2312" w:cs="Times New Roman"/>
          <w:color w:val="5E370C"/>
          <w:kern w:val="0"/>
          <w:sz w:val="32"/>
          <w:szCs w:val="32"/>
          <w:shd w:val="clear" w:fill="F9F9F9"/>
          <w:lang w:val="en-US" w:eastAsia="zh-CN" w:bidi="ar"/>
        </w:rPr>
        <w:t>2014</w:t>
      </w:r>
      <w:r>
        <w:rPr>
          <w:rFonts w:hint="eastAsia" w:ascii="仿宋_GB2312" w:hAnsi="宋体" w:eastAsia="仿宋_GB2312" w:cs="仿宋_GB2312"/>
          <w:color w:val="5E370C"/>
          <w:kern w:val="0"/>
          <w:sz w:val="32"/>
          <w:szCs w:val="32"/>
          <w:shd w:val="clear" w:fill="F9F9F9"/>
          <w:lang w:val="en-US" w:eastAsia="zh-CN" w:bidi="ar"/>
        </w:rPr>
        <w:t>年</w:t>
      </w:r>
      <w:r>
        <w:rPr>
          <w:rFonts w:hint="default" w:ascii="Times New Roman" w:hAnsi="Times New Roman" w:eastAsia="仿宋_GB2312" w:cs="Times New Roman"/>
          <w:color w:val="5E370C"/>
          <w:kern w:val="0"/>
          <w:sz w:val="32"/>
          <w:szCs w:val="32"/>
          <w:shd w:val="clear" w:fill="F9F9F9"/>
          <w:lang w:val="en-US" w:eastAsia="zh-CN" w:bidi="ar"/>
        </w:rPr>
        <w:t>9</w:t>
      </w:r>
      <w:r>
        <w:rPr>
          <w:rFonts w:hint="eastAsia" w:ascii="仿宋_GB2312" w:hAnsi="宋体" w:eastAsia="仿宋_GB2312" w:cs="仿宋_GB2312"/>
          <w:color w:val="5E370C"/>
          <w:kern w:val="0"/>
          <w:sz w:val="32"/>
          <w:szCs w:val="32"/>
          <w:shd w:val="clear" w:fill="F9F9F9"/>
          <w:lang w:val="en-US" w:eastAsia="zh-CN" w:bidi="ar"/>
        </w:rPr>
        <w:t>月</w:t>
      </w:r>
      <w:r>
        <w:rPr>
          <w:rFonts w:hint="default" w:ascii="Times New Roman" w:hAnsi="Times New Roman" w:eastAsia="仿宋_GB2312" w:cs="Times New Roman"/>
          <w:color w:val="5E370C"/>
          <w:kern w:val="0"/>
          <w:sz w:val="32"/>
          <w:szCs w:val="32"/>
          <w:shd w:val="clear" w:fill="F9F9F9"/>
          <w:lang w:val="en-US" w:eastAsia="zh-CN" w:bidi="ar"/>
        </w:rPr>
        <w:t>26</w:t>
      </w:r>
      <w:r>
        <w:rPr>
          <w:rFonts w:hint="eastAsia" w:ascii="仿宋_GB2312" w:hAnsi="宋体" w:eastAsia="仿宋_GB2312" w:cs="仿宋_GB2312"/>
          <w:color w:val="5E370C"/>
          <w:kern w:val="0"/>
          <w:sz w:val="32"/>
          <w:szCs w:val="32"/>
          <w:shd w:val="clear" w:fill="F9F9F9"/>
          <w:lang w:val="en-US" w:eastAsia="zh-CN" w:bidi="ar"/>
        </w:rPr>
        <w:t>日印发</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宋体-方正超大字符集">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E0E99"/>
    <w:rsid w:val="5AF262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5E370C"/>
      <w:u w:val="none"/>
    </w:rPr>
  </w:style>
  <w:style w:type="character" w:styleId="4">
    <w:name w:val="Hyperlink"/>
    <w:basedOn w:val="2"/>
    <w:qFormat/>
    <w:uiPriority w:val="0"/>
    <w:rPr>
      <w:color w:val="5E370C"/>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fei</dc:creator>
  <cp:lastModifiedBy>Administrator</cp:lastModifiedBy>
  <dcterms:modified xsi:type="dcterms:W3CDTF">2016-01-21T09:25:12Z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