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5E" w:rsidRDefault="0085360B">
      <w:pPr>
        <w:adjustRightInd w:val="0"/>
        <w:snapToGrid w:val="0"/>
        <w:spacing w:after="0" w:line="240" w:lineRule="auto"/>
        <w:jc w:val="center"/>
        <w:rPr>
          <w:rFonts w:ascii="Candara" w:eastAsia="仿宋" w:hAnsi="Candara" w:cs="Times New Roman"/>
          <w:b/>
          <w:bCs/>
          <w:sz w:val="28"/>
          <w:szCs w:val="28"/>
        </w:rPr>
      </w:pPr>
      <w:r>
        <w:rPr>
          <w:rFonts w:ascii="Candara" w:eastAsia="仿宋" w:hAnsi="Candara" w:cs="Times New Roman"/>
          <w:b/>
          <w:bCs/>
          <w:sz w:val="28"/>
          <w:szCs w:val="28"/>
        </w:rPr>
        <w:t>《新青年全球胜任力人才培养项目》</w:t>
      </w:r>
    </w:p>
    <w:p w:rsidR="00C6695E" w:rsidRPr="00C30DBE" w:rsidRDefault="0085360B" w:rsidP="00C30DBE">
      <w:pPr>
        <w:adjustRightInd w:val="0"/>
        <w:snapToGrid w:val="0"/>
        <w:spacing w:before="60" w:after="0" w:line="0" w:lineRule="atLeast"/>
        <w:jc w:val="center"/>
        <w:rPr>
          <w:rFonts w:ascii="华文隶书" w:eastAsia="华文隶书" w:hAnsi="Candara" w:cs="Times New Roman"/>
          <w:color w:val="FF0000"/>
          <w:sz w:val="80"/>
          <w:szCs w:val="80"/>
        </w:rPr>
      </w:pPr>
      <w:r>
        <w:rPr>
          <w:rFonts w:ascii="华文隶书" w:eastAsia="华文隶书" w:hAnsi="Candara" w:cs="Times New Roman" w:hint="eastAsia"/>
          <w:color w:val="FF0000"/>
          <w:spacing w:val="240"/>
          <w:sz w:val="80"/>
          <w:szCs w:val="80"/>
        </w:rPr>
        <w:t>师资简</w:t>
      </w:r>
      <w:r>
        <w:rPr>
          <w:rFonts w:ascii="华文隶书" w:eastAsia="华文隶书" w:hAnsi="Candara" w:cs="Times New Roman" w:hint="eastAsia"/>
          <w:color w:val="FF0000"/>
          <w:sz w:val="80"/>
          <w:szCs w:val="80"/>
        </w:rPr>
        <w:t>介</w:t>
      </w:r>
      <w:bookmarkStart w:id="0" w:name="_GoBack"/>
      <w:bookmarkEnd w:id="0"/>
    </w:p>
    <w:tbl>
      <w:tblPr>
        <w:tblStyle w:val="a9"/>
        <w:tblW w:w="8931" w:type="dxa"/>
        <w:jc w:val="center"/>
        <w:tblBorders>
          <w:top w:val="dashSmallGap" w:sz="4" w:space="0" w:color="9CC2E5" w:themeColor="accent1" w:themeTint="99"/>
          <w:left w:val="dashSmallGap" w:sz="4" w:space="0" w:color="9CC2E5" w:themeColor="accent1" w:themeTint="99"/>
          <w:bottom w:val="dashSmallGap" w:sz="4" w:space="0" w:color="9CC2E5" w:themeColor="accent1" w:themeTint="99"/>
          <w:right w:val="dashSmallGap" w:sz="4" w:space="0" w:color="9CC2E5" w:themeColor="accent1" w:themeTint="99"/>
          <w:insideH w:val="dashSmallGap" w:sz="4" w:space="0" w:color="9CC2E5" w:themeColor="accent1" w:themeTint="99"/>
          <w:insideV w:val="dashSmallGap" w:sz="4" w:space="0" w:color="9CC2E5" w:themeColor="accent1" w:themeTint="99"/>
        </w:tblBorders>
        <w:tblLayout w:type="fixed"/>
        <w:tblCellMar>
          <w:top w:w="28" w:type="dxa"/>
          <w:left w:w="57" w:type="dxa"/>
          <w:bottom w:w="28" w:type="dxa"/>
          <w:right w:w="57" w:type="dxa"/>
        </w:tblCellMar>
        <w:tblLook w:val="04A0" w:firstRow="1" w:lastRow="0" w:firstColumn="1" w:lastColumn="0" w:noHBand="0" w:noVBand="1"/>
      </w:tblPr>
      <w:tblGrid>
        <w:gridCol w:w="1680"/>
        <w:gridCol w:w="244"/>
        <w:gridCol w:w="7007"/>
      </w:tblGrid>
      <w:tr w:rsidR="00C6695E">
        <w:trPr>
          <w:trHeight w:val="519"/>
          <w:jc w:val="center"/>
        </w:trPr>
        <w:tc>
          <w:tcPr>
            <w:tcW w:w="1680" w:type="dxa"/>
            <w:tcBorders>
              <w:tl2br w:val="nil"/>
              <w:tr2bl w:val="nil"/>
            </w:tcBorders>
          </w:tcPr>
          <w:p w:rsidR="00C6695E" w:rsidRDefault="0076289E">
            <w:pPr>
              <w:adjustRightInd w:val="0"/>
              <w:snapToGrid w:val="0"/>
              <w:spacing w:after="0" w:line="240" w:lineRule="auto"/>
            </w:pPr>
            <w:r>
              <w:rPr>
                <w:rFonts w:ascii="Candara" w:eastAsia="仿宋" w:hAnsi="Candara" w:cs="Times New Roman"/>
                <w:sz w:val="24"/>
              </w:rPr>
              <w:pict>
                <v:shapetype id="_x0000_t202" coordsize="21600,21600" o:spt="202" path="m,l,21600r21600,l21600,xe">
                  <v:stroke joinstyle="miter"/>
                  <v:path gradientshapeok="t" o:connecttype="rect"/>
                </v:shapetype>
                <v:shape id="_x0000_s1027" type="#_x0000_t202" style="position:absolute;left:0;text-align:left;margin-left:2.35pt;margin-top:116.8pt;width:69.6pt;height:41.05pt;z-index:251661312" o:gfxdata="UEsDBAoAAAAAAIdO4kAAAAAAAAAAAAAAAAAEAAAAZHJzL1BLAwQUAAAACACHTuJAGHT/19cAAAAJ&#10;AQAADwAAAGRycy9kb3ducmV2LnhtbE2PS0/DMBCE70j8B2uRuFE7TfoK2fQA4gqiPKTe3HibRMTr&#10;KHab8O9xT/Q4mtHMN8V2sp040+BbxwjJTIEgrpxpuUb4/Hh5WIPwQbPRnWNC+CUP2/L2ptC5cSO/&#10;03kXahFL2OcaoQmhz6X0VUNW+5nriaN3dIPVIcqhlmbQYyy3nZwrtZRWtxwXGt3TU0PVz+5kEb5e&#10;j/vvTL3Vz3bRj25Sku1GIt7fJeoRRKAp/Ifhgh/RoYxMB3di40WHkK1iEGGepksQFz9LNyAOCGmy&#10;WIEsC3n9oPwDUEsDBBQAAAAIAIdO4kDRWhDgOAIAAGwEAAAOAAAAZHJzL2Uyb0RvYy54bWytVMFu&#10;EzEQvSPxD5bvZJO0gTTqpgqNgpAqWqkgzo7X211p7TG2k93wAfAHPXHhznf1O3j2Jm0pHHrg4oxn&#10;Zp/nvZnJ6VmnG7ZVztdkcj4aDDlTRlJRm5ucf/q4ejXlzAdhCtGQUTnfKc/P5i9fnLZ2psZUUVMo&#10;xwBi/Ky1Oa9CsLMs87JSWvgBWWUQLMlpEXB1N1nhRAt03WTj4fB11pIrrCOpvId32Qf5HtE9B5DK&#10;spZqSXKjlQk9qlONCKDkq9p6Pk/VlqWS4bIsvQqsyTmYhnTiEdjreGbzUzG7ccJWtdyXIJ5TwhNO&#10;WtQGj95DLUUQbOPqv6B0LR15KsNAks56IkkRsBgNn2hzXQmrEhdI7e296P7/wcoP2yvH6gKTAEmM&#10;0Oj43e33ux+/7n5+Y/BBoNb6GfKuLTJD95Y6JB/8Hs7Iuyudjr9gxBAH1u5eXtUFJuGcTo9OxohI&#10;hCbj0dHRJKJkDx9b58M7RZpFI+cO3Uuiiu2FD33qISW+ZWhVN03qYGP+cACz96g0AvuvI4++3miF&#10;bt3tya2p2IGbo348vJWrGhVcCB+uhMM8oGhsTLjEUTbU5pz2FmcVua//8sd8tAlRzlrMV879l41w&#10;irPmvUEDT0bHx4AN6XI8eROFcY8j68cRs9HnhBEeYTetTGbMD83BLB3pz1isRXwVIWEk3s55OJjn&#10;oZ96LKZUi0VKwghaES7MtZURupdwsQlU1knuKFOvDdoULxjC1LD9wsQpf3xPWQ9/Ev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HT/19cAAAAJAQAADwAAAAAAAAABACAAAAAiAAAAZHJzL2Rvd25y&#10;ZXYueG1sUEsBAhQAFAAAAAgAh07iQNFaEOA4AgAAbAQAAA4AAAAAAAAAAQAgAAAAJgEAAGRycy9l&#10;Mm9Eb2MueG1sUEsFBgAAAAAGAAYAWQEAANAFAAAAAA==&#10;" filled="f" stroked="f">
                  <v:textbox>
                    <w:txbxContent>
                      <w:p w:rsidR="00C6695E" w:rsidRDefault="0085360B">
                        <w:pPr>
                          <w:jc w:val="center"/>
                          <w:rPr>
                            <w:rFonts w:ascii="华文楷体" w:eastAsia="华文楷体" w:hAnsi="华文楷体"/>
                            <w:b/>
                            <w:sz w:val="28"/>
                            <w:szCs w:val="28"/>
                          </w:rPr>
                        </w:pPr>
                        <w:r>
                          <w:rPr>
                            <w:rFonts w:ascii="华文楷体" w:eastAsia="华文楷体" w:hAnsi="华文楷体" w:hint="eastAsia"/>
                            <w:b/>
                            <w:sz w:val="28"/>
                            <w:szCs w:val="28"/>
                          </w:rPr>
                          <w:t>王 勇</w:t>
                        </w:r>
                        <w:r>
                          <w:rPr>
                            <w:rFonts w:ascii="华文楷体" w:eastAsia="华文楷体" w:hAnsi="华文楷体"/>
                            <w:b/>
                            <w:noProof/>
                            <w:sz w:val="28"/>
                            <w:szCs w:val="28"/>
                          </w:rPr>
                          <w:drawing>
                            <wp:inline distT="0" distB="0" distL="0" distR="0">
                              <wp:extent cx="750570" cy="1262380"/>
                              <wp:effectExtent l="0" t="0" r="11430" b="139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0570" cy="1262528"/>
                                      </a:xfrm>
                                      <a:prstGeom prst="rect">
                                        <a:avLst/>
                                      </a:prstGeom>
                                      <a:noFill/>
                                      <a:ln>
                                        <a:noFill/>
                                      </a:ln>
                                    </pic:spPr>
                                  </pic:pic>
                                </a:graphicData>
                              </a:graphic>
                            </wp:inline>
                          </w:drawing>
                        </w:r>
                      </w:p>
                    </w:txbxContent>
                  </v:textbox>
                </v:shape>
              </w:pict>
            </w:r>
            <w:r w:rsidR="0085360B">
              <w:rPr>
                <w:rFonts w:ascii="Candara" w:eastAsia="仿宋" w:hAnsi="Candara" w:cs="Times New Roman"/>
                <w:b/>
                <w:bCs/>
                <w:noProof/>
                <w:sz w:val="24"/>
              </w:rPr>
              <w:drawing>
                <wp:anchor distT="0" distB="0" distL="114300" distR="114300" simplePos="0" relativeHeight="251662336" behindDoc="0" locked="0" layoutInCell="1" allowOverlap="1">
                  <wp:simplePos x="0" y="0"/>
                  <wp:positionH relativeFrom="column">
                    <wp:posOffset>9525</wp:posOffset>
                  </wp:positionH>
                  <wp:positionV relativeFrom="paragraph">
                    <wp:posOffset>257810</wp:posOffset>
                  </wp:positionV>
                  <wp:extent cx="941070" cy="1143635"/>
                  <wp:effectExtent l="0" t="0" r="11430" b="18415"/>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41070" cy="1143635"/>
                          </a:xfrm>
                          <a:prstGeom prst="rect">
                            <a:avLst/>
                          </a:prstGeom>
                          <a:noFill/>
                          <a:ln>
                            <a:noFill/>
                          </a:ln>
                        </pic:spPr>
                      </pic:pic>
                    </a:graphicData>
                  </a:graphic>
                </wp:anchor>
              </w:drawing>
            </w:r>
          </w:p>
        </w:tc>
        <w:tc>
          <w:tcPr>
            <w:tcW w:w="244" w:type="dxa"/>
            <w:tcBorders>
              <w:tl2br w:val="nil"/>
              <w:tr2bl w:val="nil"/>
            </w:tcBorders>
          </w:tcPr>
          <w:p w:rsidR="00C6695E" w:rsidRDefault="00C6695E">
            <w:pPr>
              <w:adjustRightInd w:val="0"/>
              <w:snapToGrid w:val="0"/>
              <w:spacing w:after="0" w:line="240" w:lineRule="auto"/>
              <w:jc w:val="left"/>
              <w:rPr>
                <w:rFonts w:ascii="Candara" w:eastAsia="仿宋" w:hAnsi="Candara" w:cs="Times New Roman"/>
                <w:b/>
                <w:bCs/>
                <w:sz w:val="24"/>
              </w:rPr>
            </w:pPr>
          </w:p>
        </w:tc>
        <w:tc>
          <w:tcPr>
            <w:tcW w:w="7007" w:type="dxa"/>
            <w:tcBorders>
              <w:tl2br w:val="nil"/>
              <w:tr2bl w:val="nil"/>
            </w:tcBorders>
            <w:vAlign w:val="center"/>
          </w:tcPr>
          <w:p w:rsidR="00C6695E" w:rsidRDefault="0085360B" w:rsidP="00C30DBE">
            <w:pPr>
              <w:pStyle w:val="ListParagraph1"/>
              <w:adjustRightInd w:val="0"/>
              <w:snapToGrid w:val="0"/>
              <w:spacing w:beforeLines="50" w:before="156" w:after="0" w:line="240" w:lineRule="auto"/>
              <w:ind w:left="0"/>
              <w:contextualSpacing w:val="0"/>
              <w:jc w:val="center"/>
              <w:rPr>
                <w:rFonts w:ascii="Candara" w:eastAsia="华文楷体" w:hAnsi="Candara" w:cs="Times New Roman"/>
                <w:b/>
                <w:bCs/>
                <w:color w:val="E62E25"/>
                <w:sz w:val="28"/>
                <w:szCs w:val="28"/>
              </w:rPr>
            </w:pPr>
            <w:r>
              <w:rPr>
                <w:rFonts w:ascii="Candara" w:eastAsia="华文楷体" w:hAnsi="Candara" w:cs="Times New Roman" w:hint="eastAsia"/>
                <w:b/>
                <w:bCs/>
                <w:color w:val="E62E25"/>
                <w:sz w:val="28"/>
                <w:szCs w:val="28"/>
              </w:rPr>
              <w:t>主讲课程：《全球治理的中国方案》</w:t>
            </w:r>
          </w:p>
          <w:p w:rsidR="00C6695E" w:rsidRDefault="0085360B">
            <w:pPr>
              <w:pStyle w:val="ListParagraph1"/>
              <w:adjustRightInd w:val="0"/>
              <w:snapToGrid w:val="0"/>
              <w:spacing w:after="0" w:line="240" w:lineRule="auto"/>
              <w:ind w:left="0"/>
              <w:contextualSpacing w:val="0"/>
              <w:jc w:val="center"/>
              <w:rPr>
                <w:rFonts w:ascii="Candara" w:eastAsia="华文楷体" w:hAnsi="Candara" w:cs="Times New Roman"/>
                <w:b/>
                <w:bCs/>
                <w:color w:val="E62E25"/>
                <w:sz w:val="24"/>
              </w:rPr>
            </w:pPr>
            <w:r>
              <w:rPr>
                <w:rFonts w:ascii="Candara" w:eastAsia="华文楷体" w:hAnsi="Candara" w:cs="Times New Roman" w:hint="eastAsia"/>
                <w:b/>
                <w:bCs/>
                <w:color w:val="E62E25"/>
                <w:sz w:val="28"/>
                <w:szCs w:val="28"/>
              </w:rPr>
              <w:t>（</w:t>
            </w:r>
            <w:r>
              <w:rPr>
                <w:rFonts w:ascii="宋体" w:eastAsia="宋体" w:hAnsi="宋体" w:cs="宋体" w:hint="eastAsia"/>
                <w:b/>
                <w:bCs/>
                <w:color w:val="E62E25"/>
                <w:sz w:val="28"/>
                <w:szCs w:val="28"/>
              </w:rPr>
              <w:t>2023</w:t>
            </w:r>
            <w:r>
              <w:rPr>
                <w:rFonts w:ascii="Candara" w:eastAsia="华文楷体" w:hAnsi="Candara" w:cs="Times New Roman" w:hint="eastAsia"/>
                <w:b/>
                <w:bCs/>
                <w:color w:val="E62E25"/>
                <w:sz w:val="28"/>
                <w:szCs w:val="28"/>
              </w:rPr>
              <w:t>年秋季学期）</w:t>
            </w:r>
          </w:p>
          <w:p w:rsidR="00C6695E" w:rsidRDefault="0085360B">
            <w:pPr>
              <w:spacing w:after="0" w:line="400" w:lineRule="exact"/>
              <w:ind w:firstLineChars="200" w:firstLine="480"/>
              <w:rPr>
                <w:rFonts w:ascii="Candara" w:eastAsia="华文楷体" w:hAnsi="Candara" w:cs="Times New Roman"/>
                <w:sz w:val="24"/>
              </w:rPr>
            </w:pPr>
            <w:r>
              <w:rPr>
                <w:rFonts w:ascii="Candara" w:eastAsia="华文楷体" w:hAnsi="Candara" w:cs="Times New Roman" w:hint="eastAsia"/>
                <w:sz w:val="24"/>
              </w:rPr>
              <w:t>现任北京大学国际关系学院教授、北京大学美国研究中心主任、北京大学国际政治经济研究中心主任；中国外交部党校教授；北京大学香港特区高级公务员国情培训主讲教授；国家商务部北京大学非洲外交官培训项目教授；瑞士达沃斯世界经济论坛（</w:t>
            </w:r>
            <w:r>
              <w:rPr>
                <w:rFonts w:ascii="Candara" w:eastAsia="华文楷体" w:hAnsi="Candara" w:cs="Times New Roman" w:hint="eastAsia"/>
                <w:sz w:val="24"/>
              </w:rPr>
              <w:t>WEF</w:t>
            </w:r>
            <w:r>
              <w:rPr>
                <w:rFonts w:ascii="Candara" w:eastAsia="华文楷体" w:hAnsi="Candara" w:cs="Times New Roman" w:hint="eastAsia"/>
                <w:sz w:val="24"/>
              </w:rPr>
              <w:t>）地缘政治全球议程委员会委员；加拿大多伦多大学全球事务学院杰出学者。北京大学法学本、硕、博。主要研究领域包括中美关系、中美经济关系、贸易政治、区域合作、国际经济关系、国际政治经济学、全球治理等方向研究。</w:t>
            </w:r>
          </w:p>
          <w:p w:rsidR="00C6695E" w:rsidRDefault="0085360B">
            <w:pPr>
              <w:spacing w:after="0" w:line="400" w:lineRule="exact"/>
              <w:ind w:firstLineChars="200" w:firstLine="480"/>
              <w:rPr>
                <w:rFonts w:ascii="Candara" w:eastAsia="华文楷体" w:hAnsi="Candara" w:cs="Times New Roman"/>
                <w:sz w:val="24"/>
              </w:rPr>
            </w:pPr>
            <w:r>
              <w:rPr>
                <w:rFonts w:ascii="Candara" w:eastAsia="华文楷体" w:hAnsi="Candara" w:cs="Times New Roman" w:hint="eastAsia"/>
                <w:sz w:val="24"/>
              </w:rPr>
              <w:t>曾在美国霍普金斯大学－南京大学中美文化研究中心学习，并先后在美国加州大学圣迭戈分校、美国太平洋国际政策委员会（</w:t>
            </w:r>
            <w:r>
              <w:rPr>
                <w:rFonts w:ascii="Candara" w:eastAsia="华文楷体" w:hAnsi="Candara" w:cs="Times New Roman" w:hint="eastAsia"/>
                <w:sz w:val="24"/>
              </w:rPr>
              <w:t>PCIP</w:t>
            </w:r>
            <w:r>
              <w:rPr>
                <w:rFonts w:ascii="Candara" w:eastAsia="华文楷体" w:hAnsi="Candara" w:cs="Times New Roman" w:hint="eastAsia"/>
                <w:sz w:val="24"/>
              </w:rPr>
              <w:t>）－南加州大学、台湾政治大学国际关系研究中心、美国印第安纳州立大学、加拿大国际治理创新中心（</w:t>
            </w:r>
            <w:r>
              <w:rPr>
                <w:rFonts w:ascii="Candara" w:eastAsia="华文楷体" w:hAnsi="Candara" w:cs="Times New Roman" w:hint="eastAsia"/>
                <w:sz w:val="24"/>
              </w:rPr>
              <w:t>CIGI</w:t>
            </w:r>
            <w:r>
              <w:rPr>
                <w:rFonts w:ascii="Candara" w:eastAsia="华文楷体" w:hAnsi="Candara" w:cs="Times New Roman" w:hint="eastAsia"/>
                <w:sz w:val="24"/>
              </w:rPr>
              <w:t>）、英国谢菲尔德大学政治经济学研究所做访问学者，是加拿大不列颠哥伦比亚大学（</w:t>
            </w:r>
            <w:r>
              <w:rPr>
                <w:rFonts w:ascii="Candara" w:eastAsia="华文楷体" w:hAnsi="Candara" w:cs="Times New Roman" w:hint="eastAsia"/>
                <w:sz w:val="24"/>
              </w:rPr>
              <w:t>UBC</w:t>
            </w:r>
            <w:r>
              <w:rPr>
                <w:rFonts w:ascii="Candara" w:eastAsia="华文楷体" w:hAnsi="Candara" w:cs="Times New Roman" w:hint="eastAsia"/>
                <w:sz w:val="24"/>
              </w:rPr>
              <w:t>）</w:t>
            </w:r>
            <w:proofErr w:type="spellStart"/>
            <w:r>
              <w:rPr>
                <w:rFonts w:ascii="Candara" w:eastAsia="华文楷体" w:hAnsi="Candara" w:cs="Times New Roman" w:hint="eastAsia"/>
                <w:sz w:val="24"/>
              </w:rPr>
              <w:t>Chavelier</w:t>
            </w:r>
            <w:proofErr w:type="spellEnd"/>
            <w:proofErr w:type="gramStart"/>
            <w:r>
              <w:rPr>
                <w:rFonts w:ascii="Candara" w:eastAsia="华文楷体" w:hAnsi="Candara" w:cs="Times New Roman" w:hint="eastAsia"/>
                <w:sz w:val="24"/>
              </w:rPr>
              <w:t>杰出访问</w:t>
            </w:r>
            <w:proofErr w:type="gramEnd"/>
            <w:r>
              <w:rPr>
                <w:rFonts w:ascii="Candara" w:eastAsia="华文楷体" w:hAnsi="Candara" w:cs="Times New Roman" w:hint="eastAsia"/>
                <w:sz w:val="24"/>
              </w:rPr>
              <w:t>教授。</w:t>
            </w:r>
          </w:p>
          <w:p w:rsidR="00C6695E" w:rsidRDefault="0085360B">
            <w:pPr>
              <w:spacing w:after="0" w:line="400" w:lineRule="exact"/>
              <w:ind w:firstLineChars="200" w:firstLine="480"/>
              <w:rPr>
                <w:rFonts w:ascii="Candara" w:eastAsia="华文楷体" w:hAnsi="Candara" w:cs="Times New Roman"/>
                <w:sz w:val="24"/>
              </w:rPr>
            </w:pPr>
            <w:r>
              <w:rPr>
                <w:rFonts w:ascii="Candara" w:eastAsia="华文楷体" w:hAnsi="Candara" w:cs="Times New Roman" w:hint="eastAsia"/>
                <w:sz w:val="24"/>
              </w:rPr>
              <w:t>现担任英文杂志《全球亚洲》（</w:t>
            </w:r>
            <w:r>
              <w:rPr>
                <w:rFonts w:ascii="Candara" w:eastAsia="华文楷体" w:hAnsi="Candara" w:cs="Times New Roman" w:hint="eastAsia"/>
                <w:sz w:val="24"/>
              </w:rPr>
              <w:t>Global Asia</w:t>
            </w:r>
            <w:r>
              <w:rPr>
                <w:rFonts w:ascii="Candara" w:eastAsia="华文楷体" w:hAnsi="Candara" w:cs="Times New Roman" w:hint="eastAsia"/>
                <w:sz w:val="24"/>
              </w:rPr>
              <w:t>）、《全球治理》（</w:t>
            </w:r>
            <w:r>
              <w:rPr>
                <w:rFonts w:ascii="Candara" w:eastAsia="华文楷体" w:hAnsi="Candara" w:cs="Times New Roman" w:hint="eastAsia"/>
                <w:sz w:val="24"/>
              </w:rPr>
              <w:t>Global Governance</w:t>
            </w:r>
            <w:r>
              <w:rPr>
                <w:rFonts w:ascii="Candara" w:eastAsia="华文楷体" w:hAnsi="Candara" w:cs="Times New Roman" w:hint="eastAsia"/>
                <w:sz w:val="24"/>
              </w:rPr>
              <w:t>）、《当代政治》（</w:t>
            </w:r>
            <w:r>
              <w:rPr>
                <w:rFonts w:ascii="Candara" w:eastAsia="华文楷体" w:hAnsi="Candara" w:cs="Times New Roman" w:hint="eastAsia"/>
                <w:sz w:val="24"/>
              </w:rPr>
              <w:t>Contemporary Politics</w:t>
            </w:r>
            <w:r>
              <w:rPr>
                <w:rFonts w:ascii="Candara" w:eastAsia="华文楷体" w:hAnsi="Candara" w:cs="Times New Roman" w:hint="eastAsia"/>
                <w:sz w:val="24"/>
              </w:rPr>
              <w:t>）、《人类安全》（</w:t>
            </w:r>
            <w:r>
              <w:rPr>
                <w:rFonts w:ascii="Candara" w:eastAsia="华文楷体" w:hAnsi="Candara" w:cs="Times New Roman" w:hint="eastAsia"/>
                <w:sz w:val="24"/>
              </w:rPr>
              <w:t>Human Security</w:t>
            </w:r>
            <w:r>
              <w:rPr>
                <w:rFonts w:ascii="Candara" w:eastAsia="华文楷体" w:hAnsi="Candara" w:cs="Times New Roman" w:hint="eastAsia"/>
                <w:sz w:val="24"/>
              </w:rPr>
              <w:t>）等编委及《国际政治经济学评论》（</w:t>
            </w:r>
            <w:r>
              <w:rPr>
                <w:rFonts w:ascii="Candara" w:eastAsia="华文楷体" w:hAnsi="Candara" w:cs="Times New Roman" w:hint="eastAsia"/>
                <w:sz w:val="24"/>
              </w:rPr>
              <w:t>RIPE</w:t>
            </w:r>
            <w:r>
              <w:rPr>
                <w:rFonts w:ascii="Candara" w:eastAsia="华文楷体" w:hAnsi="Candara" w:cs="Times New Roman" w:hint="eastAsia"/>
                <w:sz w:val="24"/>
              </w:rPr>
              <w:t>）国际顾问委员会委员。</w:t>
            </w:r>
          </w:p>
          <w:p w:rsidR="00C6695E" w:rsidRDefault="0085360B">
            <w:pPr>
              <w:spacing w:after="0" w:line="400" w:lineRule="exact"/>
              <w:ind w:firstLineChars="200" w:firstLine="480"/>
              <w:rPr>
                <w:rFonts w:ascii="Candara" w:eastAsia="华文楷体" w:hAnsi="Candara" w:cs="Times New Roman"/>
                <w:sz w:val="24"/>
              </w:rPr>
            </w:pPr>
            <w:r>
              <w:rPr>
                <w:rFonts w:ascii="Candara" w:eastAsia="华文楷体" w:hAnsi="Candara" w:cs="Times New Roman" w:hint="eastAsia"/>
                <w:sz w:val="24"/>
              </w:rPr>
              <w:t>王勇教授出版著作</w:t>
            </w:r>
            <w:r>
              <w:rPr>
                <w:rFonts w:ascii="Candara" w:eastAsia="华文楷体" w:hAnsi="Candara" w:cs="Times New Roman" w:hint="eastAsia"/>
                <w:sz w:val="24"/>
              </w:rPr>
              <w:t>11</w:t>
            </w:r>
            <w:r>
              <w:rPr>
                <w:rFonts w:ascii="Candara" w:eastAsia="华文楷体" w:hAnsi="Candara" w:cs="Times New Roman" w:hint="eastAsia"/>
                <w:sz w:val="24"/>
              </w:rPr>
              <w:t>部，包括《中国与国际政治经济学：全球对话》、《奥巴马政治经济学》、《国际贸易政治经济学》、《中美经贸关系》、《最惠国待遇的回合：</w:t>
            </w:r>
            <w:r>
              <w:rPr>
                <w:rFonts w:ascii="Candara" w:eastAsia="华文楷体" w:hAnsi="Candara" w:cs="Times New Roman" w:hint="eastAsia"/>
                <w:sz w:val="24"/>
              </w:rPr>
              <w:t>1989-1997</w:t>
            </w:r>
            <w:r>
              <w:rPr>
                <w:rFonts w:ascii="Candara" w:eastAsia="华文楷体" w:hAnsi="Candara" w:cs="Times New Roman" w:hint="eastAsia"/>
                <w:sz w:val="24"/>
              </w:rPr>
              <w:t>年中美经贸关系》等，发表中、英、日、西班牙、韩文学术论文数十篇。</w:t>
            </w:r>
            <w:r>
              <w:rPr>
                <w:rFonts w:ascii="Candara" w:eastAsia="华文楷体" w:hAnsi="Candara" w:cs="Times New Roman" w:hint="eastAsia"/>
                <w:sz w:val="24"/>
              </w:rPr>
              <w:t>2008</w:t>
            </w:r>
            <w:r>
              <w:rPr>
                <w:rFonts w:ascii="Candara" w:eastAsia="华文楷体" w:hAnsi="Candara" w:cs="Times New Roman" w:hint="eastAsia"/>
                <w:sz w:val="24"/>
              </w:rPr>
              <w:t>年王勇教授入选教育部“新世纪优秀人才计划”，《中美经贸关系》获得</w:t>
            </w:r>
            <w:r>
              <w:rPr>
                <w:rFonts w:ascii="Candara" w:eastAsia="华文楷体" w:hAnsi="Candara" w:cs="Times New Roman" w:hint="eastAsia"/>
                <w:sz w:val="24"/>
              </w:rPr>
              <w:t>2008</w:t>
            </w:r>
            <w:r>
              <w:rPr>
                <w:rFonts w:ascii="Candara" w:eastAsia="华文楷体" w:hAnsi="Candara" w:cs="Times New Roman" w:hint="eastAsia"/>
                <w:sz w:val="24"/>
              </w:rPr>
              <w:t>年北京市社会科学成果一等奖。</w:t>
            </w:r>
            <w:r>
              <w:rPr>
                <w:rFonts w:ascii="Candara" w:eastAsia="华文楷体" w:hAnsi="Candara" w:cs="Times New Roman" w:hint="eastAsia"/>
                <w:sz w:val="24"/>
              </w:rPr>
              <w:t xml:space="preserve"> </w:t>
            </w:r>
          </w:p>
          <w:p w:rsidR="00C6695E" w:rsidRDefault="0085360B" w:rsidP="00C30DBE">
            <w:pPr>
              <w:adjustRightInd w:val="0"/>
              <w:snapToGrid w:val="0"/>
              <w:spacing w:afterLines="50" w:after="156" w:line="400" w:lineRule="exact"/>
              <w:ind w:firstLine="516"/>
              <w:rPr>
                <w:rFonts w:ascii="Candara" w:eastAsia="华文楷体" w:hAnsi="Candara" w:cs="Times New Roman"/>
                <w:b/>
                <w:bCs/>
                <w:sz w:val="24"/>
              </w:rPr>
            </w:pPr>
            <w:r>
              <w:rPr>
                <w:rFonts w:ascii="Candara" w:eastAsia="华文楷体" w:hAnsi="Candara" w:cs="Times New Roman" w:hint="eastAsia"/>
                <w:sz w:val="24"/>
              </w:rPr>
              <w:t>王勇教授曾应邀在世界贸易组织（</w:t>
            </w:r>
            <w:r>
              <w:rPr>
                <w:rFonts w:ascii="Candara" w:eastAsia="华文楷体" w:hAnsi="Candara" w:cs="Times New Roman" w:hint="eastAsia"/>
                <w:sz w:val="24"/>
              </w:rPr>
              <w:t>WTO</w:t>
            </w:r>
            <w:r>
              <w:rPr>
                <w:rFonts w:ascii="Candara" w:eastAsia="华文楷体" w:hAnsi="Candara" w:cs="Times New Roman" w:hint="eastAsia"/>
                <w:sz w:val="24"/>
              </w:rPr>
              <w:t>）、世界银行、亚洲开发银行、哈佛大学、斯坦福大学、加州大学洛杉矶分校、美国国际战略研究中心（</w:t>
            </w:r>
            <w:r>
              <w:rPr>
                <w:rFonts w:ascii="Candara" w:eastAsia="华文楷体" w:hAnsi="Candara" w:cs="Times New Roman" w:hint="eastAsia"/>
                <w:sz w:val="24"/>
              </w:rPr>
              <w:t>CSIS</w:t>
            </w:r>
            <w:r>
              <w:rPr>
                <w:rFonts w:ascii="Candara" w:eastAsia="华文楷体" w:hAnsi="Candara" w:cs="Times New Roman" w:hint="eastAsia"/>
                <w:sz w:val="24"/>
              </w:rPr>
              <w:t>）、美中贸易全国委员会、多伦多大学、</w:t>
            </w:r>
            <w:r>
              <w:rPr>
                <w:rFonts w:ascii="Candara" w:eastAsia="华文楷体" w:hAnsi="Candara" w:cs="Times New Roman" w:hint="eastAsia"/>
                <w:sz w:val="24"/>
              </w:rPr>
              <w:t>UBC</w:t>
            </w:r>
            <w:r>
              <w:rPr>
                <w:rFonts w:ascii="Candara" w:eastAsia="华文楷体" w:hAnsi="Candara" w:cs="Times New Roman" w:hint="eastAsia"/>
                <w:sz w:val="24"/>
              </w:rPr>
              <w:t>、法国国际关系研究所、日本早稻田大学、庆应大学、日本防务研究</w:t>
            </w:r>
            <w:r>
              <w:rPr>
                <w:rFonts w:ascii="Candara" w:eastAsia="华文楷体" w:hAnsi="Candara" w:cs="Times New Roman" w:hint="eastAsia"/>
                <w:sz w:val="24"/>
              </w:rPr>
              <w:lastRenderedPageBreak/>
              <w:t>所、德国工商产业协会、拉美社会科学院、南非国际事务研究所、澳大利亚罗伊国际政策研究所等机构演讲。曾多次代表</w:t>
            </w:r>
            <w:proofErr w:type="gramStart"/>
            <w:r>
              <w:rPr>
                <w:rFonts w:ascii="Candara" w:eastAsia="华文楷体" w:hAnsi="Candara" w:cs="Times New Roman" w:hint="eastAsia"/>
                <w:sz w:val="24"/>
              </w:rPr>
              <w:t>中国智库参加</w:t>
            </w:r>
            <w:proofErr w:type="gramEnd"/>
            <w:r>
              <w:rPr>
                <w:rFonts w:ascii="Candara" w:eastAsia="华文楷体" w:hAnsi="Candara" w:cs="Times New Roman" w:hint="eastAsia"/>
                <w:sz w:val="24"/>
              </w:rPr>
              <w:t>“二十国集团”（</w:t>
            </w:r>
            <w:r>
              <w:rPr>
                <w:rFonts w:ascii="Candara" w:eastAsia="华文楷体" w:hAnsi="Candara" w:cs="Times New Roman" w:hint="eastAsia"/>
                <w:sz w:val="24"/>
              </w:rPr>
              <w:t>G20</w:t>
            </w:r>
            <w:r>
              <w:rPr>
                <w:rFonts w:ascii="Candara" w:eastAsia="华文楷体" w:hAnsi="Candara" w:cs="Times New Roman" w:hint="eastAsia"/>
                <w:sz w:val="24"/>
              </w:rPr>
              <w:t>）</w:t>
            </w:r>
            <w:proofErr w:type="gramStart"/>
            <w:r>
              <w:rPr>
                <w:rFonts w:ascii="Candara" w:eastAsia="华文楷体" w:hAnsi="Candara" w:cs="Times New Roman" w:hint="eastAsia"/>
                <w:sz w:val="24"/>
              </w:rPr>
              <w:t>智库峰会</w:t>
            </w:r>
            <w:proofErr w:type="gramEnd"/>
            <w:r>
              <w:rPr>
                <w:rFonts w:ascii="Candara" w:eastAsia="华文楷体" w:hAnsi="Candara" w:cs="Times New Roman" w:hint="eastAsia"/>
                <w:sz w:val="24"/>
              </w:rPr>
              <w:t>（</w:t>
            </w:r>
            <w:r>
              <w:rPr>
                <w:rFonts w:ascii="Candara" w:eastAsia="华文楷体" w:hAnsi="Candara" w:cs="Times New Roman" w:hint="eastAsia"/>
                <w:sz w:val="24"/>
              </w:rPr>
              <w:t>Think20</w:t>
            </w:r>
            <w:r>
              <w:rPr>
                <w:rFonts w:ascii="Candara" w:eastAsia="华文楷体" w:hAnsi="Candara" w:cs="Times New Roman" w:hint="eastAsia"/>
                <w:sz w:val="24"/>
              </w:rPr>
              <w:t>）会议并发表演讲。</w:t>
            </w:r>
            <w:r>
              <w:rPr>
                <w:rFonts w:ascii="Candara" w:eastAsia="华文楷体" w:hAnsi="Candara" w:cs="Times New Roman" w:hint="eastAsia"/>
                <w:sz w:val="24"/>
              </w:rPr>
              <w:t xml:space="preserve"> </w:t>
            </w:r>
          </w:p>
        </w:tc>
      </w:tr>
      <w:tr w:rsidR="00C6695E">
        <w:trPr>
          <w:trHeight w:val="219"/>
          <w:jc w:val="center"/>
        </w:trPr>
        <w:tc>
          <w:tcPr>
            <w:tcW w:w="1680" w:type="dxa"/>
            <w:tcBorders>
              <w:tl2br w:val="nil"/>
              <w:tr2bl w:val="nil"/>
            </w:tcBorders>
          </w:tcPr>
          <w:p w:rsidR="00C6695E" w:rsidRDefault="00C6695E">
            <w:pPr>
              <w:adjustRightInd w:val="0"/>
              <w:snapToGrid w:val="0"/>
              <w:spacing w:after="0" w:line="240" w:lineRule="auto"/>
              <w:jc w:val="center"/>
              <w:rPr>
                <w:b/>
                <w:szCs w:val="20"/>
              </w:rPr>
            </w:pPr>
          </w:p>
        </w:tc>
        <w:tc>
          <w:tcPr>
            <w:tcW w:w="244" w:type="dxa"/>
            <w:tcBorders>
              <w:tl2br w:val="nil"/>
              <w:tr2bl w:val="nil"/>
            </w:tcBorders>
            <w:vAlign w:val="center"/>
          </w:tcPr>
          <w:p w:rsidR="00C6695E" w:rsidRDefault="00C6695E">
            <w:pPr>
              <w:adjustRightInd w:val="0"/>
              <w:snapToGrid w:val="0"/>
              <w:spacing w:after="0" w:line="240" w:lineRule="auto"/>
              <w:jc w:val="center"/>
              <w:rPr>
                <w:rFonts w:ascii="Candara" w:eastAsia="仿宋" w:hAnsi="Candara" w:cs="Times New Roman"/>
                <w:sz w:val="20"/>
                <w:szCs w:val="20"/>
              </w:rPr>
            </w:pPr>
          </w:p>
        </w:tc>
        <w:tc>
          <w:tcPr>
            <w:tcW w:w="7007" w:type="dxa"/>
            <w:tcBorders>
              <w:tl2br w:val="nil"/>
              <w:tr2bl w:val="nil"/>
            </w:tcBorders>
            <w:vAlign w:val="center"/>
          </w:tcPr>
          <w:p w:rsidR="00C6695E" w:rsidRDefault="00C6695E">
            <w:pPr>
              <w:pStyle w:val="ListParagraph1"/>
              <w:adjustRightInd w:val="0"/>
              <w:snapToGrid w:val="0"/>
              <w:spacing w:after="0" w:line="240" w:lineRule="auto"/>
              <w:ind w:left="0" w:firstLineChars="200" w:firstLine="400"/>
              <w:contextualSpacing w:val="0"/>
              <w:rPr>
                <w:rFonts w:ascii="Candara" w:eastAsia="华文楷体" w:hAnsi="Candara" w:cs="Times New Roman"/>
                <w:sz w:val="20"/>
                <w:szCs w:val="20"/>
              </w:rPr>
            </w:pPr>
          </w:p>
        </w:tc>
      </w:tr>
      <w:tr w:rsidR="00C6695E">
        <w:trPr>
          <w:trHeight w:val="1416"/>
          <w:jc w:val="center"/>
        </w:trPr>
        <w:tc>
          <w:tcPr>
            <w:tcW w:w="1680" w:type="dxa"/>
            <w:tcBorders>
              <w:tl2br w:val="nil"/>
              <w:tr2bl w:val="nil"/>
            </w:tcBorders>
          </w:tcPr>
          <w:p w:rsidR="00C6695E" w:rsidRDefault="00C6695E">
            <w:pPr>
              <w:adjustRightInd w:val="0"/>
              <w:snapToGrid w:val="0"/>
              <w:spacing w:after="0" w:line="240" w:lineRule="auto"/>
              <w:rPr>
                <w:rFonts w:ascii="Candara" w:eastAsia="仿宋" w:hAnsi="Candara" w:cs="Times New Roman"/>
                <w:b/>
                <w:bCs/>
                <w:sz w:val="32"/>
                <w:szCs w:val="32"/>
              </w:rPr>
            </w:pPr>
          </w:p>
          <w:p w:rsidR="00C6695E" w:rsidRDefault="0085360B">
            <w:pPr>
              <w:adjustRightInd w:val="0"/>
              <w:snapToGrid w:val="0"/>
              <w:spacing w:after="0" w:line="240" w:lineRule="auto"/>
              <w:rPr>
                <w:rFonts w:ascii="Candara" w:eastAsia="仿宋" w:hAnsi="Candara" w:cs="Times New Roman"/>
                <w:b/>
                <w:bCs/>
                <w:sz w:val="24"/>
              </w:rPr>
            </w:pPr>
            <w:r>
              <w:rPr>
                <w:rFonts w:ascii="Candara" w:eastAsia="仿宋" w:hAnsi="Candara" w:cs="Times New Roman" w:hint="eastAsia"/>
                <w:b/>
                <w:bCs/>
                <w:noProof/>
                <w:sz w:val="24"/>
              </w:rPr>
              <w:drawing>
                <wp:inline distT="0" distB="0" distL="0" distR="0">
                  <wp:extent cx="950595" cy="1195705"/>
                  <wp:effectExtent l="0" t="0" r="1905" b="4445"/>
                  <wp:docPr id="18" name="图片 18" descr="查教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查教授"/>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50595" cy="1195705"/>
                          </a:xfrm>
                          <a:prstGeom prst="rect">
                            <a:avLst/>
                          </a:prstGeom>
                        </pic:spPr>
                      </pic:pic>
                    </a:graphicData>
                  </a:graphic>
                </wp:inline>
              </w:drawing>
            </w:r>
          </w:p>
          <w:p w:rsidR="00C6695E" w:rsidRDefault="0085360B" w:rsidP="00C30DBE">
            <w:pPr>
              <w:adjustRightInd w:val="0"/>
              <w:snapToGrid w:val="0"/>
              <w:spacing w:beforeLines="100" w:before="312" w:after="0" w:line="240" w:lineRule="auto"/>
              <w:jc w:val="center"/>
              <w:rPr>
                <w:rFonts w:ascii="Candara" w:eastAsia="仿宋" w:hAnsi="Candara" w:cs="Times New Roman"/>
                <w:b/>
                <w:bCs/>
                <w:sz w:val="24"/>
              </w:rPr>
            </w:pPr>
            <w:r>
              <w:rPr>
                <w:rFonts w:ascii="华文楷体" w:eastAsia="华文楷体" w:hAnsi="华文楷体" w:hint="eastAsia"/>
                <w:b/>
                <w:sz w:val="28"/>
                <w:szCs w:val="28"/>
              </w:rPr>
              <w:t>查道炯</w:t>
            </w:r>
          </w:p>
          <w:p w:rsidR="00C6695E" w:rsidRDefault="00C6695E">
            <w:pPr>
              <w:adjustRightInd w:val="0"/>
              <w:snapToGrid w:val="0"/>
              <w:spacing w:after="0" w:line="240" w:lineRule="auto"/>
              <w:rPr>
                <w:rFonts w:ascii="Candara" w:eastAsia="仿宋" w:hAnsi="Candara" w:cs="Times New Roman"/>
                <w:b/>
                <w:bCs/>
                <w:sz w:val="24"/>
              </w:rPr>
            </w:pPr>
          </w:p>
        </w:tc>
        <w:tc>
          <w:tcPr>
            <w:tcW w:w="244" w:type="dxa"/>
            <w:tcBorders>
              <w:tl2br w:val="nil"/>
              <w:tr2bl w:val="nil"/>
            </w:tcBorders>
          </w:tcPr>
          <w:p w:rsidR="00C6695E" w:rsidRDefault="00C6695E">
            <w:pPr>
              <w:adjustRightInd w:val="0"/>
              <w:snapToGrid w:val="0"/>
              <w:spacing w:after="0" w:line="240" w:lineRule="auto"/>
              <w:jc w:val="center"/>
              <w:rPr>
                <w:rFonts w:ascii="Candara" w:eastAsia="仿宋" w:hAnsi="Candara" w:cs="Times New Roman"/>
                <w:b/>
                <w:bCs/>
                <w:sz w:val="24"/>
              </w:rPr>
            </w:pPr>
          </w:p>
        </w:tc>
        <w:tc>
          <w:tcPr>
            <w:tcW w:w="7007" w:type="dxa"/>
            <w:tcBorders>
              <w:tl2br w:val="nil"/>
              <w:tr2bl w:val="nil"/>
            </w:tcBorders>
          </w:tcPr>
          <w:p w:rsidR="00C6695E" w:rsidRDefault="0085360B">
            <w:pPr>
              <w:pStyle w:val="ListParagraph1"/>
              <w:adjustRightInd w:val="0"/>
              <w:snapToGrid w:val="0"/>
              <w:spacing w:after="0" w:line="240" w:lineRule="auto"/>
              <w:ind w:left="0"/>
              <w:contextualSpacing w:val="0"/>
              <w:jc w:val="center"/>
              <w:rPr>
                <w:rFonts w:ascii="Candara" w:eastAsia="华文楷体" w:hAnsi="Candara" w:cs="Times New Roman"/>
                <w:b/>
                <w:bCs/>
                <w:color w:val="E62E25"/>
                <w:sz w:val="28"/>
                <w:szCs w:val="28"/>
              </w:rPr>
            </w:pPr>
            <w:r>
              <w:rPr>
                <w:rFonts w:ascii="Candara" w:eastAsia="华文楷体" w:hAnsi="Candara" w:cs="Times New Roman" w:hint="eastAsia"/>
                <w:b/>
                <w:bCs/>
                <w:color w:val="E62E25"/>
                <w:sz w:val="28"/>
                <w:szCs w:val="28"/>
              </w:rPr>
              <w:t>主讲课程：《“一带一路”与全球发展》</w:t>
            </w:r>
          </w:p>
          <w:p w:rsidR="00C6695E" w:rsidRDefault="0085360B">
            <w:pPr>
              <w:pStyle w:val="ListParagraph1"/>
              <w:adjustRightInd w:val="0"/>
              <w:snapToGrid w:val="0"/>
              <w:spacing w:after="0" w:line="240" w:lineRule="auto"/>
              <w:ind w:left="0"/>
              <w:contextualSpacing w:val="0"/>
              <w:jc w:val="center"/>
              <w:rPr>
                <w:rFonts w:ascii="Candara" w:eastAsia="华文楷体" w:hAnsi="Candara" w:cs="Times New Roman"/>
                <w:b/>
                <w:bCs/>
                <w:color w:val="E62E25"/>
                <w:sz w:val="28"/>
                <w:szCs w:val="28"/>
              </w:rPr>
            </w:pPr>
            <w:r>
              <w:rPr>
                <w:rFonts w:ascii="Candara" w:eastAsia="华文楷体" w:hAnsi="Candara" w:cs="Times New Roman" w:hint="eastAsia"/>
                <w:b/>
                <w:bCs/>
                <w:color w:val="E62E25"/>
                <w:sz w:val="28"/>
                <w:szCs w:val="28"/>
              </w:rPr>
              <w:t>（</w:t>
            </w:r>
            <w:r>
              <w:rPr>
                <w:rFonts w:ascii="宋体" w:eastAsia="宋体" w:hAnsi="宋体" w:cs="宋体" w:hint="eastAsia"/>
                <w:b/>
                <w:bCs/>
                <w:color w:val="E62E25"/>
                <w:sz w:val="28"/>
                <w:szCs w:val="28"/>
              </w:rPr>
              <w:t>2023</w:t>
            </w:r>
            <w:r>
              <w:rPr>
                <w:rFonts w:ascii="Candara" w:eastAsia="华文楷体" w:hAnsi="Candara" w:cs="Times New Roman" w:hint="eastAsia"/>
                <w:b/>
                <w:bCs/>
                <w:color w:val="E62E25"/>
                <w:sz w:val="28"/>
                <w:szCs w:val="28"/>
              </w:rPr>
              <w:t>年秋季学期）</w:t>
            </w:r>
          </w:p>
          <w:p w:rsidR="00C6695E" w:rsidRDefault="0085360B" w:rsidP="00C30DBE">
            <w:pPr>
              <w:pStyle w:val="ListParagraph1"/>
              <w:adjustRightInd w:val="0"/>
              <w:snapToGrid w:val="0"/>
              <w:spacing w:afterLines="50" w:after="156" w:line="400" w:lineRule="exact"/>
              <w:ind w:left="0" w:firstLineChars="200" w:firstLine="480"/>
              <w:contextualSpacing w:val="0"/>
              <w:rPr>
                <w:rFonts w:ascii="Candara" w:eastAsia="华文楷体" w:hAnsi="Candara" w:cs="Times New Roman"/>
                <w:sz w:val="24"/>
              </w:rPr>
            </w:pPr>
            <w:r>
              <w:rPr>
                <w:rFonts w:ascii="Candara" w:eastAsia="华文楷体" w:hAnsi="Candara" w:cs="Times New Roman" w:hint="eastAsia"/>
                <w:sz w:val="24"/>
              </w:rPr>
              <w:t>现任北京大学国际关系学院、南南合作与发展</w:t>
            </w:r>
            <w:proofErr w:type="gramStart"/>
            <w:r>
              <w:rPr>
                <w:rFonts w:ascii="Candara" w:eastAsia="华文楷体" w:hAnsi="Candara" w:cs="Times New Roman" w:hint="eastAsia"/>
                <w:sz w:val="24"/>
              </w:rPr>
              <w:t>学院双聘</w:t>
            </w:r>
            <w:proofErr w:type="gramEnd"/>
            <w:r>
              <w:rPr>
                <w:rFonts w:ascii="Candara" w:eastAsia="华文楷体" w:hAnsi="Candara" w:cs="Times New Roman" w:hint="eastAsia"/>
                <w:sz w:val="24"/>
              </w:rPr>
              <w:t>教授。他曾就读于夏威夷大学和东西方中心，并获得政治学博士学位。他的专业领域包括国际政治经济学和中国的国际经济关系（特别是能源和自然资源领域、粮食安全）、发展援助、公共卫生以及亚太地区的经济政治关系。他经常性参加中美之间关于贸易和投资、公共卫生等议题</w:t>
            </w:r>
            <w:proofErr w:type="gramStart"/>
            <w:r>
              <w:rPr>
                <w:rFonts w:ascii="Candara" w:eastAsia="华文楷体" w:hAnsi="Candara" w:cs="Times New Roman" w:hint="eastAsia"/>
                <w:sz w:val="24"/>
              </w:rPr>
              <w:t>的二轨对话</w:t>
            </w:r>
            <w:proofErr w:type="gramEnd"/>
            <w:r>
              <w:rPr>
                <w:rFonts w:ascii="Candara" w:eastAsia="华文楷体" w:hAnsi="Candara" w:cs="Times New Roman" w:hint="eastAsia"/>
                <w:sz w:val="24"/>
              </w:rPr>
              <w:t>。他还在《南华早报》等报纸上发表时事评论文章。</w:t>
            </w:r>
          </w:p>
        </w:tc>
      </w:tr>
      <w:tr w:rsidR="00C6695E">
        <w:trPr>
          <w:trHeight w:val="305"/>
          <w:jc w:val="center"/>
        </w:trPr>
        <w:tc>
          <w:tcPr>
            <w:tcW w:w="1680" w:type="dxa"/>
            <w:tcBorders>
              <w:tl2br w:val="nil"/>
              <w:tr2bl w:val="nil"/>
            </w:tcBorders>
          </w:tcPr>
          <w:p w:rsidR="00C6695E" w:rsidRDefault="00C6695E">
            <w:pPr>
              <w:adjustRightInd w:val="0"/>
              <w:snapToGrid w:val="0"/>
              <w:spacing w:after="0" w:line="240" w:lineRule="auto"/>
              <w:jc w:val="center"/>
              <w:rPr>
                <w:b/>
                <w:sz w:val="18"/>
                <w:szCs w:val="16"/>
              </w:rPr>
            </w:pPr>
          </w:p>
        </w:tc>
        <w:tc>
          <w:tcPr>
            <w:tcW w:w="244" w:type="dxa"/>
            <w:tcBorders>
              <w:tl2br w:val="nil"/>
              <w:tr2bl w:val="nil"/>
            </w:tcBorders>
            <w:vAlign w:val="center"/>
          </w:tcPr>
          <w:p w:rsidR="00C6695E" w:rsidRDefault="00C6695E">
            <w:pPr>
              <w:adjustRightInd w:val="0"/>
              <w:snapToGrid w:val="0"/>
              <w:spacing w:after="0" w:line="240" w:lineRule="auto"/>
              <w:jc w:val="center"/>
              <w:rPr>
                <w:rFonts w:ascii="Candara" w:eastAsia="仿宋" w:hAnsi="Candara" w:cs="Times New Roman"/>
                <w:sz w:val="16"/>
                <w:szCs w:val="16"/>
              </w:rPr>
            </w:pPr>
          </w:p>
        </w:tc>
        <w:tc>
          <w:tcPr>
            <w:tcW w:w="7007" w:type="dxa"/>
            <w:tcBorders>
              <w:tl2br w:val="nil"/>
              <w:tr2bl w:val="nil"/>
            </w:tcBorders>
            <w:vAlign w:val="center"/>
          </w:tcPr>
          <w:p w:rsidR="00C6695E" w:rsidRDefault="00C6695E">
            <w:pPr>
              <w:pStyle w:val="ListParagraph1"/>
              <w:adjustRightInd w:val="0"/>
              <w:snapToGrid w:val="0"/>
              <w:spacing w:after="0" w:line="240" w:lineRule="auto"/>
              <w:ind w:left="0" w:firstLineChars="200" w:firstLine="320"/>
              <w:contextualSpacing w:val="0"/>
              <w:rPr>
                <w:rFonts w:ascii="Candara" w:eastAsia="华文楷体" w:hAnsi="Candara" w:cs="Times New Roman"/>
                <w:sz w:val="16"/>
                <w:szCs w:val="16"/>
              </w:rPr>
            </w:pPr>
          </w:p>
        </w:tc>
      </w:tr>
      <w:tr w:rsidR="00C6695E">
        <w:trPr>
          <w:trHeight w:val="937"/>
          <w:jc w:val="center"/>
        </w:trPr>
        <w:tc>
          <w:tcPr>
            <w:tcW w:w="1680" w:type="dxa"/>
            <w:tcBorders>
              <w:tl2br w:val="nil"/>
              <w:tr2bl w:val="nil"/>
            </w:tcBorders>
          </w:tcPr>
          <w:p w:rsidR="00C6695E" w:rsidRDefault="00C6695E">
            <w:pPr>
              <w:adjustRightInd w:val="0"/>
              <w:snapToGrid w:val="0"/>
              <w:spacing w:after="0" w:line="240" w:lineRule="auto"/>
              <w:rPr>
                <w:rFonts w:ascii="Candara" w:eastAsia="仿宋" w:hAnsi="Candara" w:cs="Times New Roman"/>
                <w:b/>
                <w:bCs/>
                <w:sz w:val="32"/>
                <w:szCs w:val="32"/>
              </w:rPr>
            </w:pPr>
          </w:p>
          <w:p w:rsidR="00C6695E" w:rsidRDefault="0085360B">
            <w:pPr>
              <w:adjustRightInd w:val="0"/>
              <w:snapToGrid w:val="0"/>
              <w:spacing w:after="0" w:line="240" w:lineRule="auto"/>
              <w:jc w:val="center"/>
              <w:rPr>
                <w:rFonts w:ascii="Candara" w:eastAsia="仿宋" w:hAnsi="Candara" w:cs="Times New Roman"/>
                <w:b/>
                <w:bCs/>
                <w:sz w:val="24"/>
              </w:rPr>
            </w:pPr>
            <w:r>
              <w:rPr>
                <w:rFonts w:ascii="Candara" w:eastAsia="仿宋" w:hAnsi="Candara" w:cs="Times New Roman"/>
                <w:b/>
                <w:bCs/>
                <w:noProof/>
                <w:sz w:val="24"/>
              </w:rPr>
              <w:drawing>
                <wp:inline distT="0" distB="0" distL="0" distR="0">
                  <wp:extent cx="986790" cy="1211580"/>
                  <wp:effectExtent l="0" t="0" r="3810" b="7620"/>
                  <wp:docPr id="20" name="Picture 21"/>
                  <wp:cNvGraphicFramePr/>
                  <a:graphic xmlns:a="http://schemas.openxmlformats.org/drawingml/2006/main">
                    <a:graphicData uri="http://schemas.openxmlformats.org/drawingml/2006/picture">
                      <pic:pic xmlns:pic="http://schemas.openxmlformats.org/drawingml/2006/picture">
                        <pic:nvPicPr>
                          <pic:cNvPr id="2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986790" cy="1211580"/>
                          </a:xfrm>
                          <a:prstGeom prst="rect">
                            <a:avLst/>
                          </a:prstGeom>
                        </pic:spPr>
                      </pic:pic>
                    </a:graphicData>
                  </a:graphic>
                </wp:inline>
              </w:drawing>
            </w:r>
          </w:p>
          <w:p w:rsidR="00C6695E" w:rsidRDefault="0085360B" w:rsidP="00C30DBE">
            <w:pPr>
              <w:adjustRightInd w:val="0"/>
              <w:snapToGrid w:val="0"/>
              <w:spacing w:beforeLines="100" w:before="312" w:after="0" w:line="240" w:lineRule="auto"/>
              <w:jc w:val="center"/>
              <w:rPr>
                <w:rFonts w:ascii="Candara" w:eastAsia="仿宋" w:hAnsi="Candara" w:cs="Times New Roman"/>
                <w:b/>
                <w:bCs/>
                <w:sz w:val="24"/>
              </w:rPr>
            </w:pPr>
            <w:r>
              <w:rPr>
                <w:rFonts w:ascii="华文楷体" w:eastAsia="华文楷体" w:hAnsi="华文楷体" w:hint="eastAsia"/>
                <w:b/>
                <w:sz w:val="28"/>
                <w:szCs w:val="28"/>
              </w:rPr>
              <w:t>高旭东</w:t>
            </w:r>
          </w:p>
          <w:p w:rsidR="00C6695E" w:rsidRDefault="00C6695E">
            <w:pPr>
              <w:adjustRightInd w:val="0"/>
              <w:snapToGrid w:val="0"/>
              <w:spacing w:after="0" w:line="240" w:lineRule="auto"/>
              <w:jc w:val="center"/>
              <w:rPr>
                <w:rFonts w:ascii="Candara" w:eastAsia="仿宋" w:hAnsi="Candara" w:cs="Times New Roman"/>
                <w:b/>
                <w:bCs/>
                <w:sz w:val="24"/>
              </w:rPr>
            </w:pPr>
          </w:p>
          <w:p w:rsidR="00C6695E" w:rsidRDefault="00C6695E">
            <w:pPr>
              <w:adjustRightInd w:val="0"/>
              <w:snapToGrid w:val="0"/>
              <w:spacing w:after="0" w:line="240" w:lineRule="auto"/>
              <w:jc w:val="center"/>
              <w:rPr>
                <w:rFonts w:ascii="Candara" w:eastAsia="仿宋" w:hAnsi="Candara" w:cs="Times New Roman"/>
                <w:b/>
                <w:bCs/>
                <w:sz w:val="24"/>
              </w:rPr>
            </w:pPr>
          </w:p>
        </w:tc>
        <w:tc>
          <w:tcPr>
            <w:tcW w:w="244" w:type="dxa"/>
            <w:tcBorders>
              <w:tl2br w:val="nil"/>
              <w:tr2bl w:val="nil"/>
            </w:tcBorders>
          </w:tcPr>
          <w:p w:rsidR="00C6695E" w:rsidRDefault="00C6695E">
            <w:pPr>
              <w:adjustRightInd w:val="0"/>
              <w:snapToGrid w:val="0"/>
              <w:spacing w:after="0" w:line="240" w:lineRule="auto"/>
              <w:jc w:val="center"/>
              <w:rPr>
                <w:rFonts w:ascii="Candara" w:eastAsia="仿宋" w:hAnsi="Candara" w:cs="Times New Roman"/>
                <w:b/>
                <w:bCs/>
                <w:sz w:val="24"/>
              </w:rPr>
            </w:pPr>
          </w:p>
        </w:tc>
        <w:tc>
          <w:tcPr>
            <w:tcW w:w="7007" w:type="dxa"/>
            <w:tcBorders>
              <w:tl2br w:val="nil"/>
              <w:tr2bl w:val="nil"/>
            </w:tcBorders>
          </w:tcPr>
          <w:p w:rsidR="00C6695E" w:rsidRDefault="0085360B">
            <w:pPr>
              <w:pStyle w:val="ListParagraph1"/>
              <w:adjustRightInd w:val="0"/>
              <w:snapToGrid w:val="0"/>
              <w:spacing w:after="0" w:line="240" w:lineRule="auto"/>
              <w:ind w:left="0"/>
              <w:contextualSpacing w:val="0"/>
              <w:jc w:val="center"/>
              <w:rPr>
                <w:rFonts w:ascii="Candara" w:eastAsia="华文楷体" w:hAnsi="Candara" w:cs="Times New Roman"/>
                <w:b/>
                <w:bCs/>
                <w:color w:val="E62E25"/>
                <w:sz w:val="28"/>
                <w:szCs w:val="28"/>
              </w:rPr>
            </w:pPr>
            <w:r>
              <w:rPr>
                <w:rFonts w:ascii="Candara" w:eastAsia="华文楷体" w:hAnsi="Candara" w:cs="Times New Roman" w:hint="eastAsia"/>
                <w:b/>
                <w:bCs/>
                <w:color w:val="E62E25"/>
                <w:sz w:val="28"/>
                <w:szCs w:val="28"/>
              </w:rPr>
              <w:t>主讲课程：《未来科技发展与创新创业》</w:t>
            </w:r>
          </w:p>
          <w:p w:rsidR="00C6695E" w:rsidRDefault="0085360B">
            <w:pPr>
              <w:pStyle w:val="ListParagraph1"/>
              <w:adjustRightInd w:val="0"/>
              <w:snapToGrid w:val="0"/>
              <w:spacing w:after="0" w:line="240" w:lineRule="auto"/>
              <w:ind w:left="0"/>
              <w:contextualSpacing w:val="0"/>
              <w:jc w:val="center"/>
              <w:rPr>
                <w:rFonts w:ascii="Candara" w:eastAsia="华文楷体" w:hAnsi="Candara" w:cs="Times New Roman"/>
                <w:b/>
                <w:bCs/>
                <w:color w:val="E62E25"/>
                <w:sz w:val="24"/>
              </w:rPr>
            </w:pPr>
            <w:r>
              <w:rPr>
                <w:rFonts w:ascii="Candara" w:eastAsia="华文楷体" w:hAnsi="Candara" w:cs="Times New Roman" w:hint="eastAsia"/>
                <w:b/>
                <w:bCs/>
                <w:color w:val="E62E25"/>
                <w:sz w:val="28"/>
                <w:szCs w:val="28"/>
              </w:rPr>
              <w:t>（</w:t>
            </w:r>
            <w:r>
              <w:rPr>
                <w:rFonts w:ascii="宋体" w:eastAsia="宋体" w:hAnsi="宋体" w:cs="宋体" w:hint="eastAsia"/>
                <w:b/>
                <w:bCs/>
                <w:color w:val="E62E25"/>
                <w:sz w:val="28"/>
                <w:szCs w:val="28"/>
              </w:rPr>
              <w:t>2023</w:t>
            </w:r>
            <w:r>
              <w:rPr>
                <w:rFonts w:ascii="Candara" w:eastAsia="华文楷体" w:hAnsi="Candara" w:cs="Times New Roman" w:hint="eastAsia"/>
                <w:b/>
                <w:bCs/>
                <w:color w:val="E62E25"/>
                <w:sz w:val="28"/>
                <w:szCs w:val="28"/>
              </w:rPr>
              <w:t>年秋季学期）</w:t>
            </w:r>
          </w:p>
          <w:p w:rsidR="00C6695E" w:rsidRDefault="0085360B" w:rsidP="000B767A">
            <w:pPr>
              <w:pStyle w:val="a4"/>
              <w:spacing w:after="0" w:line="400" w:lineRule="exact"/>
              <w:ind w:leftChars="0" w:left="0" w:firstLineChars="199" w:firstLine="478"/>
              <w:rPr>
                <w:rFonts w:ascii="Candara" w:eastAsia="华文楷体" w:hAnsi="Candara" w:cs="Times New Roman"/>
                <w:sz w:val="24"/>
              </w:rPr>
            </w:pPr>
            <w:r>
              <w:rPr>
                <w:rFonts w:ascii="Candara" w:eastAsia="华文楷体" w:hAnsi="Candara" w:cs="Times New Roman" w:hint="eastAsia"/>
                <w:sz w:val="24"/>
              </w:rPr>
              <w:t>现任清华大学经管学院教授，清华大学技术创新研究中心研究员、副主任，工业和信息化部信息通信经济专家委员会委员，中国工业经济学会副理事长。哈尔滨工业大学工学学士，中国人民大学经济学硕士，麻省理工学院斯隆管理学院（</w:t>
            </w:r>
            <w:r>
              <w:rPr>
                <w:rFonts w:ascii="Candara" w:eastAsia="华文楷体" w:hAnsi="Candara" w:cs="Times New Roman" w:hint="eastAsia"/>
                <w:sz w:val="24"/>
              </w:rPr>
              <w:t>MIT Sloan School of Management</w:t>
            </w:r>
            <w:r>
              <w:rPr>
                <w:rFonts w:ascii="Candara" w:eastAsia="华文楷体" w:hAnsi="Candara" w:cs="Times New Roman"/>
                <w:sz w:val="24"/>
              </w:rPr>
              <w:t>）</w:t>
            </w:r>
            <w:r>
              <w:rPr>
                <w:rFonts w:ascii="Candara" w:eastAsia="华文楷体" w:hAnsi="Candara" w:cs="Times New Roman" w:hint="eastAsia"/>
                <w:sz w:val="24"/>
              </w:rPr>
              <w:t>管理学博士。</w:t>
            </w:r>
          </w:p>
          <w:p w:rsidR="00C6695E" w:rsidRDefault="0085360B" w:rsidP="000B767A">
            <w:pPr>
              <w:pStyle w:val="a4"/>
              <w:spacing w:after="0" w:line="400" w:lineRule="exact"/>
              <w:ind w:leftChars="0" w:left="0" w:firstLineChars="199" w:firstLine="478"/>
              <w:rPr>
                <w:rFonts w:ascii="Candara" w:eastAsia="华文楷体" w:hAnsi="Candara" w:cs="Times New Roman"/>
                <w:sz w:val="24"/>
              </w:rPr>
            </w:pPr>
            <w:r>
              <w:rPr>
                <w:rFonts w:ascii="Candara" w:eastAsia="华文楷体" w:hAnsi="Candara" w:cs="Times New Roman" w:hint="eastAsia"/>
                <w:sz w:val="24"/>
              </w:rPr>
              <w:t>研究涉及的主要行业和领域包括：电信、汽车、能源（包括新能源），以及</w:t>
            </w:r>
            <w:proofErr w:type="gramStart"/>
            <w:r>
              <w:rPr>
                <w:rFonts w:ascii="Candara" w:eastAsia="华文楷体" w:hAnsi="Candara" w:cs="Times New Roman" w:hint="eastAsia"/>
                <w:sz w:val="24"/>
              </w:rPr>
              <w:t>大型央企的</w:t>
            </w:r>
            <w:proofErr w:type="gramEnd"/>
            <w:r>
              <w:rPr>
                <w:rFonts w:ascii="Candara" w:eastAsia="华文楷体" w:hAnsi="Candara" w:cs="Times New Roman" w:hint="eastAsia"/>
                <w:sz w:val="24"/>
              </w:rPr>
              <w:t>竞争力和创新力；研究的主要方向为公司战略、技术战略、技术能力培养。对中国企业的竞争战略和自主创新能力培养的理论和对策进行了比较系统的研究，对于中国企业为什么要进行自主创新、能不能进行自主创新以及如何进行自主创新等问题进行了分析</w:t>
            </w:r>
            <w:r>
              <w:rPr>
                <w:rFonts w:ascii="Candara" w:eastAsia="华文楷体" w:hAnsi="Candara" w:cs="Times New Roman" w:hint="eastAsia"/>
                <w:sz w:val="24"/>
              </w:rPr>
              <w:t xml:space="preserve">, </w:t>
            </w:r>
            <w:r>
              <w:rPr>
                <w:rFonts w:ascii="Candara" w:eastAsia="华文楷体" w:hAnsi="Candara" w:cs="Times New Roman" w:hint="eastAsia"/>
                <w:sz w:val="24"/>
              </w:rPr>
              <w:t>特别是在系统研究以中石油、中石化、国家电网、中广核、金风科技、隆基、清华阳光、大唐电信、中兴、华为、国双、徐工、远大、华大基因、曙光、海信、长虹、</w:t>
            </w:r>
            <w:r>
              <w:rPr>
                <w:rFonts w:ascii="Candara" w:eastAsia="华文楷体" w:hAnsi="Candara" w:cs="Times New Roman" w:hint="eastAsia"/>
                <w:sz w:val="24"/>
              </w:rPr>
              <w:t>TCL</w:t>
            </w:r>
            <w:r>
              <w:rPr>
                <w:rFonts w:ascii="Candara" w:eastAsia="华文楷体" w:hAnsi="Candara" w:cs="Times New Roman" w:hint="eastAsia"/>
                <w:sz w:val="24"/>
              </w:rPr>
              <w:t>等为代表的中国本土企业的基础上，提出了企业自主创新能力培养的“社会学习理论”，“后来者劣势”理论，以及本土企业创新发展的“共同成长理论”。</w:t>
            </w:r>
          </w:p>
          <w:p w:rsidR="00C6695E" w:rsidRDefault="0085360B" w:rsidP="000B767A">
            <w:pPr>
              <w:pStyle w:val="a4"/>
              <w:spacing w:line="400" w:lineRule="exact"/>
              <w:ind w:leftChars="0" w:left="0" w:firstLineChars="199" w:firstLine="478"/>
              <w:rPr>
                <w:rFonts w:ascii="Candara" w:eastAsia="华文楷体" w:hAnsi="Candara" w:cs="Times New Roman"/>
                <w:sz w:val="24"/>
              </w:rPr>
            </w:pPr>
            <w:r>
              <w:rPr>
                <w:rFonts w:ascii="Candara" w:eastAsia="华文楷体" w:hAnsi="Candara" w:cs="Times New Roman" w:hint="eastAsia"/>
                <w:sz w:val="24"/>
              </w:rPr>
              <w:t>所著《企业自主创新战略与方法》（</w:t>
            </w:r>
            <w:r>
              <w:rPr>
                <w:rFonts w:ascii="Candara" w:eastAsia="华文楷体" w:hAnsi="Candara" w:cs="Times New Roman" w:hint="eastAsia"/>
                <w:sz w:val="24"/>
              </w:rPr>
              <w:t>2007</w:t>
            </w:r>
            <w:r>
              <w:rPr>
                <w:rFonts w:ascii="Candara" w:eastAsia="华文楷体" w:hAnsi="Candara" w:cs="Times New Roman" w:hint="eastAsia"/>
                <w:sz w:val="24"/>
              </w:rPr>
              <w:t>，</w:t>
            </w:r>
            <w:r>
              <w:rPr>
                <w:rFonts w:ascii="Candara" w:eastAsia="华文楷体" w:hAnsi="Candara" w:cs="Times New Roman" w:hint="eastAsia"/>
                <w:sz w:val="24"/>
              </w:rPr>
              <w:t xml:space="preserve"> </w:t>
            </w:r>
            <w:r>
              <w:rPr>
                <w:rFonts w:ascii="Candara" w:eastAsia="华文楷体" w:hAnsi="Candara" w:cs="Times New Roman" w:hint="eastAsia"/>
                <w:sz w:val="24"/>
              </w:rPr>
              <w:t>知识产权出版社）</w:t>
            </w:r>
            <w:r>
              <w:rPr>
                <w:rFonts w:ascii="Candara" w:eastAsia="华文楷体" w:hAnsi="Candara" w:cs="Times New Roman" w:hint="eastAsia"/>
                <w:sz w:val="24"/>
              </w:rPr>
              <w:lastRenderedPageBreak/>
              <w:t>一书比较系统地阐述了自主创新的有关理论和方法。文章发表在管理学报、技术经济、科学与科学技术管理，</w:t>
            </w:r>
            <w:r>
              <w:rPr>
                <w:rFonts w:ascii="Candara" w:eastAsia="华文楷体" w:hAnsi="Candara" w:cs="Times New Roman" w:hint="eastAsia"/>
                <w:sz w:val="24"/>
              </w:rPr>
              <w:t>Research Policy, Cambridge Journal of Regions, Economy and Society, Telecommunications Policy, Research Technology Management, International Journal of Technology Management</w:t>
            </w:r>
            <w:r>
              <w:rPr>
                <w:rFonts w:ascii="Candara" w:eastAsia="华文楷体" w:hAnsi="Candara" w:cs="Times New Roman" w:hint="eastAsia"/>
                <w:sz w:val="24"/>
              </w:rPr>
              <w:t>等杂志。</w:t>
            </w:r>
          </w:p>
        </w:tc>
      </w:tr>
      <w:tr w:rsidR="00C6695E">
        <w:trPr>
          <w:trHeight w:val="305"/>
          <w:jc w:val="center"/>
        </w:trPr>
        <w:tc>
          <w:tcPr>
            <w:tcW w:w="1680" w:type="dxa"/>
            <w:tcBorders>
              <w:tl2br w:val="nil"/>
              <w:tr2bl w:val="nil"/>
            </w:tcBorders>
          </w:tcPr>
          <w:p w:rsidR="00C6695E" w:rsidRDefault="00C6695E">
            <w:pPr>
              <w:adjustRightInd w:val="0"/>
              <w:snapToGrid w:val="0"/>
              <w:spacing w:after="0" w:line="240" w:lineRule="auto"/>
              <w:jc w:val="center"/>
              <w:rPr>
                <w:b/>
                <w:szCs w:val="20"/>
              </w:rPr>
            </w:pPr>
          </w:p>
        </w:tc>
        <w:tc>
          <w:tcPr>
            <w:tcW w:w="244" w:type="dxa"/>
            <w:tcBorders>
              <w:tl2br w:val="nil"/>
              <w:tr2bl w:val="nil"/>
            </w:tcBorders>
            <w:vAlign w:val="center"/>
          </w:tcPr>
          <w:p w:rsidR="00C6695E" w:rsidRDefault="00C6695E">
            <w:pPr>
              <w:adjustRightInd w:val="0"/>
              <w:snapToGrid w:val="0"/>
              <w:spacing w:after="0" w:line="240" w:lineRule="auto"/>
              <w:jc w:val="center"/>
              <w:rPr>
                <w:rFonts w:ascii="Candara" w:eastAsia="仿宋" w:hAnsi="Candara" w:cs="Times New Roman"/>
                <w:sz w:val="20"/>
                <w:szCs w:val="20"/>
              </w:rPr>
            </w:pPr>
          </w:p>
        </w:tc>
        <w:tc>
          <w:tcPr>
            <w:tcW w:w="7007" w:type="dxa"/>
            <w:tcBorders>
              <w:tl2br w:val="nil"/>
              <w:tr2bl w:val="nil"/>
            </w:tcBorders>
            <w:vAlign w:val="center"/>
          </w:tcPr>
          <w:p w:rsidR="00C6695E" w:rsidRDefault="00C6695E">
            <w:pPr>
              <w:pStyle w:val="ListParagraph1"/>
              <w:adjustRightInd w:val="0"/>
              <w:snapToGrid w:val="0"/>
              <w:spacing w:after="0" w:line="240" w:lineRule="auto"/>
              <w:ind w:left="0" w:firstLineChars="200" w:firstLine="400"/>
              <w:contextualSpacing w:val="0"/>
              <w:rPr>
                <w:rFonts w:ascii="Candara" w:eastAsia="华文楷体" w:hAnsi="Candara" w:cs="Times New Roman"/>
                <w:sz w:val="20"/>
                <w:szCs w:val="20"/>
              </w:rPr>
            </w:pPr>
          </w:p>
        </w:tc>
      </w:tr>
      <w:tr w:rsidR="00C6695E">
        <w:trPr>
          <w:trHeight w:val="1416"/>
          <w:jc w:val="center"/>
        </w:trPr>
        <w:tc>
          <w:tcPr>
            <w:tcW w:w="1680" w:type="dxa"/>
            <w:tcBorders>
              <w:tl2br w:val="nil"/>
              <w:tr2bl w:val="nil"/>
            </w:tcBorders>
          </w:tcPr>
          <w:p w:rsidR="00C6695E" w:rsidRDefault="00C6695E">
            <w:pPr>
              <w:adjustRightInd w:val="0"/>
              <w:snapToGrid w:val="0"/>
              <w:spacing w:after="0" w:line="240" w:lineRule="auto"/>
              <w:rPr>
                <w:rFonts w:ascii="Candara" w:eastAsia="仿宋" w:hAnsi="Candara" w:cs="Times New Roman"/>
                <w:b/>
                <w:bCs/>
                <w:sz w:val="32"/>
                <w:szCs w:val="32"/>
              </w:rPr>
            </w:pPr>
          </w:p>
          <w:p w:rsidR="00C6695E" w:rsidRDefault="0085360B">
            <w:pPr>
              <w:adjustRightInd w:val="0"/>
              <w:snapToGrid w:val="0"/>
              <w:spacing w:after="0" w:line="240" w:lineRule="auto"/>
              <w:jc w:val="center"/>
              <w:rPr>
                <w:rFonts w:ascii="Candara" w:eastAsia="仿宋" w:hAnsi="Candara" w:cs="Times New Roman"/>
                <w:b/>
                <w:bCs/>
                <w:sz w:val="24"/>
              </w:rPr>
            </w:pPr>
            <w:r>
              <w:rPr>
                <w:rFonts w:ascii="Candara" w:eastAsia="仿宋" w:hAnsi="Candara" w:cs="Times New Roman"/>
                <w:b/>
                <w:bCs/>
                <w:noProof/>
                <w:sz w:val="24"/>
              </w:rPr>
              <w:drawing>
                <wp:inline distT="0" distB="0" distL="0" distR="0">
                  <wp:extent cx="967740" cy="1163955"/>
                  <wp:effectExtent l="0" t="0" r="3810" b="1714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67740" cy="1163955"/>
                          </a:xfrm>
                          <a:prstGeom prst="rect">
                            <a:avLst/>
                          </a:prstGeom>
                          <a:noFill/>
                          <a:ln>
                            <a:noFill/>
                          </a:ln>
                        </pic:spPr>
                      </pic:pic>
                    </a:graphicData>
                  </a:graphic>
                </wp:inline>
              </w:drawing>
            </w:r>
          </w:p>
          <w:p w:rsidR="00C6695E" w:rsidRDefault="0085360B" w:rsidP="00C30DBE">
            <w:pPr>
              <w:adjustRightInd w:val="0"/>
              <w:snapToGrid w:val="0"/>
              <w:spacing w:beforeLines="100" w:before="312" w:after="0" w:line="240" w:lineRule="auto"/>
              <w:jc w:val="center"/>
              <w:rPr>
                <w:rFonts w:ascii="Candara" w:eastAsia="仿宋" w:hAnsi="Candara" w:cs="Times New Roman"/>
                <w:b/>
                <w:bCs/>
                <w:sz w:val="24"/>
              </w:rPr>
            </w:pPr>
            <w:r>
              <w:rPr>
                <w:rFonts w:ascii="华文楷体" w:eastAsia="华文楷体" w:hAnsi="华文楷体" w:hint="eastAsia"/>
                <w:b/>
                <w:sz w:val="28"/>
                <w:szCs w:val="28"/>
              </w:rPr>
              <w:t>马  琳</w:t>
            </w:r>
          </w:p>
        </w:tc>
        <w:tc>
          <w:tcPr>
            <w:tcW w:w="244" w:type="dxa"/>
            <w:tcBorders>
              <w:tl2br w:val="nil"/>
              <w:tr2bl w:val="nil"/>
            </w:tcBorders>
          </w:tcPr>
          <w:p w:rsidR="00C6695E" w:rsidRDefault="00C6695E">
            <w:pPr>
              <w:adjustRightInd w:val="0"/>
              <w:snapToGrid w:val="0"/>
              <w:spacing w:after="0" w:line="240" w:lineRule="auto"/>
              <w:jc w:val="left"/>
              <w:rPr>
                <w:rFonts w:ascii="Candara" w:eastAsia="仿宋" w:hAnsi="Candara" w:cs="Times New Roman"/>
                <w:b/>
                <w:bCs/>
                <w:sz w:val="24"/>
              </w:rPr>
            </w:pPr>
          </w:p>
        </w:tc>
        <w:tc>
          <w:tcPr>
            <w:tcW w:w="7007" w:type="dxa"/>
            <w:tcBorders>
              <w:tl2br w:val="nil"/>
              <w:tr2bl w:val="nil"/>
            </w:tcBorders>
            <w:vAlign w:val="center"/>
          </w:tcPr>
          <w:p w:rsidR="00C6695E" w:rsidRDefault="0085360B">
            <w:pPr>
              <w:pStyle w:val="ListParagraph1"/>
              <w:adjustRightInd w:val="0"/>
              <w:snapToGrid w:val="0"/>
              <w:spacing w:after="0" w:line="240" w:lineRule="auto"/>
              <w:ind w:left="0"/>
              <w:contextualSpacing w:val="0"/>
              <w:jc w:val="center"/>
              <w:rPr>
                <w:rFonts w:ascii="Candara" w:eastAsia="华文楷体" w:hAnsi="Candara" w:cs="Times New Roman"/>
                <w:b/>
                <w:bCs/>
                <w:color w:val="E62E25"/>
                <w:sz w:val="28"/>
                <w:szCs w:val="28"/>
              </w:rPr>
            </w:pPr>
            <w:r>
              <w:rPr>
                <w:rFonts w:ascii="Candara" w:eastAsia="华文楷体" w:hAnsi="Candara" w:cs="Times New Roman" w:hint="eastAsia"/>
                <w:b/>
                <w:bCs/>
                <w:color w:val="E62E25"/>
                <w:sz w:val="28"/>
                <w:szCs w:val="28"/>
              </w:rPr>
              <w:t>主讲课程：《跨文化沟通与交流》</w:t>
            </w:r>
          </w:p>
          <w:p w:rsidR="00C6695E" w:rsidRDefault="0085360B">
            <w:pPr>
              <w:pStyle w:val="ListParagraph1"/>
              <w:adjustRightInd w:val="0"/>
              <w:snapToGrid w:val="0"/>
              <w:spacing w:after="0" w:line="240" w:lineRule="auto"/>
              <w:ind w:left="0"/>
              <w:contextualSpacing w:val="0"/>
              <w:jc w:val="center"/>
              <w:rPr>
                <w:rFonts w:ascii="Candara" w:eastAsia="华文楷体" w:hAnsi="Candara" w:cs="Times New Roman"/>
                <w:b/>
                <w:bCs/>
                <w:color w:val="E62E25"/>
                <w:sz w:val="24"/>
              </w:rPr>
            </w:pPr>
            <w:r>
              <w:rPr>
                <w:rFonts w:ascii="Candara" w:eastAsia="华文楷体" w:hAnsi="Candara" w:cs="Times New Roman" w:hint="eastAsia"/>
                <w:b/>
                <w:bCs/>
                <w:color w:val="E62E25"/>
                <w:sz w:val="28"/>
                <w:szCs w:val="28"/>
              </w:rPr>
              <w:t>（</w:t>
            </w:r>
            <w:r>
              <w:rPr>
                <w:rFonts w:ascii="宋体" w:eastAsia="宋体" w:hAnsi="宋体" w:cs="宋体" w:hint="eastAsia"/>
                <w:b/>
                <w:bCs/>
                <w:color w:val="E62E25"/>
                <w:sz w:val="28"/>
                <w:szCs w:val="28"/>
              </w:rPr>
              <w:t>2023</w:t>
            </w:r>
            <w:r>
              <w:rPr>
                <w:rFonts w:ascii="Candara" w:eastAsia="华文楷体" w:hAnsi="Candara" w:cs="Times New Roman" w:hint="eastAsia"/>
                <w:b/>
                <w:bCs/>
                <w:color w:val="E62E25"/>
                <w:sz w:val="28"/>
                <w:szCs w:val="28"/>
              </w:rPr>
              <w:t>年秋季学期）</w:t>
            </w:r>
          </w:p>
          <w:p w:rsidR="00C6695E" w:rsidRDefault="0085360B" w:rsidP="00C30DBE">
            <w:pPr>
              <w:adjustRightInd w:val="0"/>
              <w:snapToGrid w:val="0"/>
              <w:spacing w:afterLines="50" w:after="156" w:line="400" w:lineRule="exact"/>
              <w:ind w:firstLine="516"/>
              <w:rPr>
                <w:rFonts w:ascii="Candara" w:eastAsia="华文楷体" w:hAnsi="Candara" w:cs="Times New Roman"/>
                <w:sz w:val="24"/>
              </w:rPr>
            </w:pPr>
            <w:r>
              <w:rPr>
                <w:rFonts w:ascii="Candara" w:eastAsia="华文楷体" w:hAnsi="Candara" w:cs="Times New Roman" w:hint="eastAsia"/>
                <w:sz w:val="24"/>
              </w:rPr>
              <w:t>现任北京外国语大学国际商学院副教授。北京外国语大学英语学院英语语言文学本、硕，美国路易维尔大学人文学院人文学博士。曾先后在澳大利亚国立大学、美国密西根州立大学和法国</w:t>
            </w:r>
            <w:r>
              <w:rPr>
                <w:rFonts w:ascii="Candara" w:eastAsia="华文楷体" w:hAnsi="Candara" w:cs="Times New Roman" w:hint="eastAsia"/>
                <w:sz w:val="24"/>
              </w:rPr>
              <w:t>ESCP</w:t>
            </w:r>
            <w:r>
              <w:rPr>
                <w:rFonts w:ascii="Candara" w:eastAsia="华文楷体" w:hAnsi="Candara" w:cs="Times New Roman" w:hint="eastAsia"/>
                <w:sz w:val="24"/>
              </w:rPr>
              <w:t>欧洲高等商学院做访问学者，在美国密西根大学</w:t>
            </w:r>
            <w:r>
              <w:rPr>
                <w:rFonts w:ascii="Candara" w:eastAsia="华文楷体" w:hAnsi="Candara" w:cs="Times New Roman" w:hint="eastAsia"/>
                <w:sz w:val="24"/>
              </w:rPr>
              <w:t>CCMB</w:t>
            </w:r>
            <w:r>
              <w:rPr>
                <w:rFonts w:ascii="Candara" w:eastAsia="华文楷体" w:hAnsi="Candara" w:cs="Times New Roman" w:hint="eastAsia"/>
                <w:sz w:val="24"/>
              </w:rPr>
              <w:t>和英国斯泰福厦大学商学院进修。主要研究领域包括国际营销、整合营销传播、消费者行为、跨文化传播等。担任</w:t>
            </w:r>
            <w:r>
              <w:rPr>
                <w:rFonts w:ascii="Candara" w:eastAsia="华文楷体" w:hAnsi="Candara" w:cs="Times New Roman" w:hint="eastAsia"/>
                <w:sz w:val="24"/>
              </w:rPr>
              <w:t xml:space="preserve">Intercultural Communication Studies </w:t>
            </w:r>
            <w:r>
              <w:rPr>
                <w:rFonts w:ascii="Candara" w:eastAsia="华文楷体" w:hAnsi="Candara" w:cs="Times New Roman" w:hint="eastAsia"/>
                <w:sz w:val="24"/>
              </w:rPr>
              <w:t>和</w:t>
            </w:r>
            <w:r>
              <w:rPr>
                <w:rFonts w:ascii="Candara" w:eastAsia="华文楷体" w:hAnsi="Candara" w:cs="Times New Roman" w:hint="eastAsia"/>
                <w:sz w:val="24"/>
              </w:rPr>
              <w:t>Journal of International Marketing</w:t>
            </w:r>
            <w:r>
              <w:rPr>
                <w:rFonts w:ascii="Candara" w:eastAsia="华文楷体" w:hAnsi="Candara" w:cs="Times New Roman" w:hint="eastAsia"/>
                <w:sz w:val="24"/>
              </w:rPr>
              <w:t>国际学术期刊匿名评审专家。曾主持和参与国家社会科学基金中华学术外译项目、国家自然科学基金、北京高校青年英才计划项目、北京市社科基金、国务院侨务办公室青年课题、北京外国语大学‘双一流’重大</w:t>
            </w:r>
            <w:r>
              <w:rPr>
                <w:rFonts w:ascii="Candara" w:eastAsia="华文楷体" w:hAnsi="Candara" w:cs="Times New Roman" w:hint="eastAsia"/>
                <w:sz w:val="24"/>
              </w:rPr>
              <w:t>(</w:t>
            </w:r>
            <w:r>
              <w:rPr>
                <w:rFonts w:ascii="Candara" w:eastAsia="华文楷体" w:hAnsi="Candara" w:cs="Times New Roman" w:hint="eastAsia"/>
                <w:sz w:val="24"/>
              </w:rPr>
              <w:t>点</w:t>
            </w:r>
            <w:r>
              <w:rPr>
                <w:rFonts w:ascii="Candara" w:eastAsia="华文楷体" w:hAnsi="Candara" w:cs="Times New Roman" w:hint="eastAsia"/>
                <w:sz w:val="24"/>
              </w:rPr>
              <w:t>)</w:t>
            </w:r>
            <w:r>
              <w:rPr>
                <w:rFonts w:ascii="Candara" w:eastAsia="华文楷体" w:hAnsi="Candara" w:cs="Times New Roman" w:hint="eastAsia"/>
                <w:sz w:val="24"/>
              </w:rPr>
              <w:t>标志性项目等多项科研项目。在</w:t>
            </w:r>
            <w:r>
              <w:rPr>
                <w:rFonts w:ascii="Candara" w:eastAsia="华文楷体" w:hAnsi="Candara" w:cs="Times New Roman" w:hint="eastAsia"/>
                <w:sz w:val="24"/>
              </w:rPr>
              <w:t>International Business Review</w:t>
            </w:r>
            <w:r>
              <w:rPr>
                <w:rFonts w:ascii="Candara" w:eastAsia="华文楷体" w:hAnsi="Candara" w:cs="Times New Roman" w:hint="eastAsia"/>
                <w:sz w:val="24"/>
              </w:rPr>
              <w:t>，</w:t>
            </w:r>
            <w:r>
              <w:rPr>
                <w:rFonts w:ascii="Candara" w:eastAsia="华文楷体" w:hAnsi="Candara" w:cs="Times New Roman" w:hint="eastAsia"/>
                <w:sz w:val="24"/>
              </w:rPr>
              <w:t>Intercultural Communication Studies</w:t>
            </w:r>
            <w:r>
              <w:rPr>
                <w:rFonts w:ascii="Candara" w:eastAsia="华文楷体" w:hAnsi="Candara" w:cs="Times New Roman" w:hint="eastAsia"/>
                <w:sz w:val="24"/>
              </w:rPr>
              <w:t>，现代传播等国际国内核心学术期刊和会议发表论文</w:t>
            </w:r>
            <w:r>
              <w:rPr>
                <w:rFonts w:ascii="Candara" w:eastAsia="华文楷体" w:hAnsi="Candara" w:cs="Times New Roman" w:hint="eastAsia"/>
                <w:sz w:val="24"/>
              </w:rPr>
              <w:t>10</w:t>
            </w:r>
            <w:r>
              <w:rPr>
                <w:rFonts w:ascii="Candara" w:eastAsia="华文楷体" w:hAnsi="Candara" w:cs="Times New Roman" w:hint="eastAsia"/>
                <w:sz w:val="24"/>
              </w:rPr>
              <w:t>余篇。出版专著《</w:t>
            </w:r>
            <w:r>
              <w:rPr>
                <w:rFonts w:ascii="Candara" w:eastAsia="华文楷体" w:hAnsi="Candara" w:cs="Times New Roman" w:hint="eastAsia"/>
                <w:sz w:val="24"/>
              </w:rPr>
              <w:t>Postmodern Advertising and Its Reception: A Cross-Cultural Perspective</w:t>
            </w:r>
            <w:r>
              <w:rPr>
                <w:rFonts w:ascii="Candara" w:eastAsia="华文楷体" w:hAnsi="Candara" w:cs="Times New Roman" w:hint="eastAsia"/>
                <w:sz w:val="24"/>
              </w:rPr>
              <w:t>》，并参与</w:t>
            </w:r>
            <w:r>
              <w:rPr>
                <w:rFonts w:ascii="Candara" w:eastAsia="华文楷体" w:hAnsi="Candara" w:cs="Times New Roman" w:hint="eastAsia"/>
                <w:sz w:val="24"/>
              </w:rPr>
              <w:t xml:space="preserve"> </w:t>
            </w:r>
            <w:r>
              <w:rPr>
                <w:rFonts w:ascii="Candara" w:eastAsia="华文楷体" w:hAnsi="Candara" w:cs="Times New Roman" w:hint="eastAsia"/>
                <w:sz w:val="24"/>
              </w:rPr>
              <w:t>“十一五”国家级规划教材《商务英语阅读》的编写。</w:t>
            </w:r>
          </w:p>
        </w:tc>
      </w:tr>
      <w:tr w:rsidR="00C6695E">
        <w:trPr>
          <w:trHeight w:val="282"/>
          <w:jc w:val="center"/>
        </w:trPr>
        <w:tc>
          <w:tcPr>
            <w:tcW w:w="1680" w:type="dxa"/>
            <w:tcBorders>
              <w:tl2br w:val="nil"/>
              <w:tr2bl w:val="nil"/>
            </w:tcBorders>
          </w:tcPr>
          <w:p w:rsidR="00C6695E" w:rsidRDefault="00C6695E">
            <w:pPr>
              <w:adjustRightInd w:val="0"/>
              <w:snapToGrid w:val="0"/>
              <w:spacing w:after="0" w:line="240" w:lineRule="auto"/>
              <w:jc w:val="center"/>
              <w:rPr>
                <w:b/>
                <w:sz w:val="22"/>
                <w:szCs w:val="21"/>
              </w:rPr>
            </w:pPr>
          </w:p>
        </w:tc>
        <w:tc>
          <w:tcPr>
            <w:tcW w:w="244" w:type="dxa"/>
            <w:tcBorders>
              <w:tl2br w:val="nil"/>
              <w:tr2bl w:val="nil"/>
            </w:tcBorders>
            <w:vAlign w:val="center"/>
          </w:tcPr>
          <w:p w:rsidR="00C6695E" w:rsidRDefault="00C6695E">
            <w:pPr>
              <w:adjustRightInd w:val="0"/>
              <w:snapToGrid w:val="0"/>
              <w:spacing w:after="0" w:line="240" w:lineRule="auto"/>
              <w:jc w:val="center"/>
              <w:rPr>
                <w:rFonts w:ascii="Candara" w:eastAsia="仿宋" w:hAnsi="Candara" w:cs="Times New Roman"/>
                <w:szCs w:val="21"/>
              </w:rPr>
            </w:pPr>
          </w:p>
        </w:tc>
        <w:tc>
          <w:tcPr>
            <w:tcW w:w="7007" w:type="dxa"/>
            <w:tcBorders>
              <w:tl2br w:val="nil"/>
              <w:tr2bl w:val="nil"/>
            </w:tcBorders>
            <w:vAlign w:val="center"/>
          </w:tcPr>
          <w:p w:rsidR="00C6695E" w:rsidRDefault="00C6695E">
            <w:pPr>
              <w:pStyle w:val="ListParagraph1"/>
              <w:adjustRightInd w:val="0"/>
              <w:snapToGrid w:val="0"/>
              <w:spacing w:after="0" w:line="240" w:lineRule="auto"/>
              <w:ind w:left="0" w:firstLineChars="200" w:firstLine="420"/>
              <w:contextualSpacing w:val="0"/>
              <w:rPr>
                <w:rFonts w:ascii="Candara" w:eastAsia="华文楷体" w:hAnsi="Candara" w:cs="Times New Roman"/>
                <w:szCs w:val="21"/>
              </w:rPr>
            </w:pPr>
          </w:p>
        </w:tc>
      </w:tr>
      <w:tr w:rsidR="00C6695E">
        <w:trPr>
          <w:trHeight w:val="282"/>
          <w:jc w:val="center"/>
        </w:trPr>
        <w:tc>
          <w:tcPr>
            <w:tcW w:w="1680" w:type="dxa"/>
            <w:tcBorders>
              <w:tl2br w:val="nil"/>
              <w:tr2bl w:val="nil"/>
            </w:tcBorders>
          </w:tcPr>
          <w:p w:rsidR="00C6695E" w:rsidRDefault="00C6695E">
            <w:pPr>
              <w:adjustRightInd w:val="0"/>
              <w:snapToGrid w:val="0"/>
              <w:spacing w:after="0" w:line="240" w:lineRule="auto"/>
              <w:jc w:val="center"/>
              <w:rPr>
                <w:b/>
                <w:sz w:val="32"/>
                <w:szCs w:val="28"/>
              </w:rPr>
            </w:pPr>
          </w:p>
          <w:p w:rsidR="00C6695E" w:rsidRDefault="0085360B">
            <w:pPr>
              <w:adjustRightInd w:val="0"/>
              <w:snapToGrid w:val="0"/>
              <w:spacing w:after="0" w:line="240" w:lineRule="auto"/>
              <w:jc w:val="center"/>
              <w:rPr>
                <w:b/>
                <w:sz w:val="28"/>
              </w:rPr>
            </w:pPr>
            <w:r>
              <w:rPr>
                <w:b/>
                <w:noProof/>
                <w:sz w:val="28"/>
              </w:rPr>
              <w:drawing>
                <wp:inline distT="0" distB="0" distL="0" distR="0">
                  <wp:extent cx="964565" cy="1381125"/>
                  <wp:effectExtent l="0" t="0" r="6985" b="9525"/>
                  <wp:docPr id="22" name="图片 22" descr="D:\学院\2022年\其他\中国教育报短评\陈开和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学院\2022年\其他\中国教育报短评\陈开和照片.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64565" cy="1381125"/>
                          </a:xfrm>
                          <a:prstGeom prst="rect">
                            <a:avLst/>
                          </a:prstGeom>
                          <a:noFill/>
                          <a:ln>
                            <a:noFill/>
                          </a:ln>
                        </pic:spPr>
                      </pic:pic>
                    </a:graphicData>
                  </a:graphic>
                </wp:inline>
              </w:drawing>
            </w:r>
          </w:p>
          <w:p w:rsidR="00C6695E" w:rsidRDefault="0085360B" w:rsidP="00C30DBE">
            <w:pPr>
              <w:adjustRightInd w:val="0"/>
              <w:snapToGrid w:val="0"/>
              <w:spacing w:beforeLines="100" w:before="312" w:after="0" w:line="240" w:lineRule="auto"/>
              <w:jc w:val="center"/>
              <w:rPr>
                <w:b/>
                <w:sz w:val="28"/>
              </w:rPr>
            </w:pPr>
            <w:r>
              <w:rPr>
                <w:rFonts w:hint="eastAsia"/>
                <w:b/>
                <w:sz w:val="28"/>
              </w:rPr>
              <w:t>陈开</w:t>
            </w:r>
            <w:proofErr w:type="gramStart"/>
            <w:r>
              <w:rPr>
                <w:rFonts w:hint="eastAsia"/>
                <w:b/>
                <w:sz w:val="28"/>
              </w:rPr>
              <w:t>和</w:t>
            </w:r>
            <w:proofErr w:type="gramEnd"/>
          </w:p>
          <w:p w:rsidR="00C6695E" w:rsidRDefault="00C6695E">
            <w:pPr>
              <w:adjustRightInd w:val="0"/>
              <w:snapToGrid w:val="0"/>
              <w:spacing w:after="0" w:line="240" w:lineRule="auto"/>
              <w:jc w:val="center"/>
              <w:rPr>
                <w:b/>
                <w:sz w:val="28"/>
              </w:rPr>
            </w:pPr>
          </w:p>
        </w:tc>
        <w:tc>
          <w:tcPr>
            <w:tcW w:w="244" w:type="dxa"/>
            <w:tcBorders>
              <w:tl2br w:val="nil"/>
              <w:tr2bl w:val="nil"/>
            </w:tcBorders>
            <w:vAlign w:val="center"/>
          </w:tcPr>
          <w:p w:rsidR="00C6695E" w:rsidRDefault="00C6695E">
            <w:pPr>
              <w:adjustRightInd w:val="0"/>
              <w:snapToGrid w:val="0"/>
              <w:spacing w:after="0" w:line="240" w:lineRule="auto"/>
              <w:jc w:val="center"/>
              <w:rPr>
                <w:rFonts w:ascii="Candara" w:eastAsia="仿宋" w:hAnsi="Candara" w:cs="Times New Roman"/>
                <w:sz w:val="24"/>
              </w:rPr>
            </w:pPr>
          </w:p>
        </w:tc>
        <w:tc>
          <w:tcPr>
            <w:tcW w:w="7007" w:type="dxa"/>
            <w:tcBorders>
              <w:tl2br w:val="nil"/>
              <w:tr2bl w:val="nil"/>
            </w:tcBorders>
            <w:vAlign w:val="center"/>
          </w:tcPr>
          <w:p w:rsidR="00C6695E" w:rsidRDefault="0085360B" w:rsidP="00C30DBE">
            <w:pPr>
              <w:pStyle w:val="ListParagraph1"/>
              <w:adjustRightInd w:val="0"/>
              <w:snapToGrid w:val="0"/>
              <w:spacing w:beforeLines="50" w:before="156" w:after="0" w:line="240" w:lineRule="auto"/>
              <w:ind w:left="0"/>
              <w:contextualSpacing w:val="0"/>
              <w:jc w:val="center"/>
              <w:rPr>
                <w:rFonts w:ascii="Candara" w:eastAsia="华文楷体" w:hAnsi="Candara" w:cs="Times New Roman"/>
                <w:b/>
                <w:bCs/>
                <w:color w:val="E62E25"/>
                <w:sz w:val="28"/>
                <w:szCs w:val="28"/>
              </w:rPr>
            </w:pPr>
            <w:r>
              <w:rPr>
                <w:rFonts w:ascii="Candara" w:eastAsia="华文楷体" w:hAnsi="Candara" w:cs="Times New Roman" w:hint="eastAsia"/>
                <w:b/>
                <w:bCs/>
                <w:color w:val="E62E25"/>
                <w:sz w:val="28"/>
                <w:szCs w:val="28"/>
              </w:rPr>
              <w:t>主讲课程：《国际公文写作》</w:t>
            </w:r>
          </w:p>
          <w:p w:rsidR="00C6695E" w:rsidRDefault="0085360B">
            <w:pPr>
              <w:pStyle w:val="ListParagraph1"/>
              <w:adjustRightInd w:val="0"/>
              <w:snapToGrid w:val="0"/>
              <w:spacing w:after="0" w:line="240" w:lineRule="auto"/>
              <w:ind w:left="0"/>
              <w:contextualSpacing w:val="0"/>
              <w:jc w:val="center"/>
              <w:rPr>
                <w:rFonts w:ascii="Candara" w:eastAsia="华文楷体" w:hAnsi="Candara" w:cs="Times New Roman"/>
                <w:b/>
                <w:bCs/>
                <w:color w:val="E62E25"/>
                <w:sz w:val="24"/>
              </w:rPr>
            </w:pPr>
            <w:r>
              <w:rPr>
                <w:rFonts w:ascii="Candara" w:eastAsia="华文楷体" w:hAnsi="Candara" w:cs="Times New Roman" w:hint="eastAsia"/>
                <w:b/>
                <w:bCs/>
                <w:color w:val="E62E25"/>
                <w:sz w:val="28"/>
                <w:szCs w:val="28"/>
              </w:rPr>
              <w:t>（</w:t>
            </w:r>
            <w:r>
              <w:rPr>
                <w:rFonts w:ascii="宋体" w:eastAsia="宋体" w:hAnsi="宋体" w:cs="宋体" w:hint="eastAsia"/>
                <w:b/>
                <w:bCs/>
                <w:color w:val="E62E25"/>
                <w:sz w:val="28"/>
                <w:szCs w:val="28"/>
              </w:rPr>
              <w:t>2023</w:t>
            </w:r>
            <w:r>
              <w:rPr>
                <w:rFonts w:ascii="Candara" w:eastAsia="华文楷体" w:hAnsi="Candara" w:cs="Times New Roman" w:hint="eastAsia"/>
                <w:b/>
                <w:bCs/>
                <w:color w:val="E62E25"/>
                <w:sz w:val="28"/>
                <w:szCs w:val="28"/>
              </w:rPr>
              <w:t>年秋季学期）</w:t>
            </w:r>
          </w:p>
          <w:p w:rsidR="00C6695E" w:rsidRDefault="0085360B" w:rsidP="00C30DBE">
            <w:pPr>
              <w:pStyle w:val="ListParagraph1"/>
              <w:adjustRightInd w:val="0"/>
              <w:snapToGrid w:val="0"/>
              <w:spacing w:afterLines="50" w:after="156" w:line="400" w:lineRule="exact"/>
              <w:ind w:left="0" w:firstLineChars="200" w:firstLine="480"/>
              <w:contextualSpacing w:val="0"/>
              <w:rPr>
                <w:rFonts w:ascii="Candara" w:eastAsia="华文楷体" w:hAnsi="Candara" w:cs="Times New Roman"/>
                <w:sz w:val="24"/>
              </w:rPr>
            </w:pPr>
            <w:r>
              <w:rPr>
                <w:rFonts w:ascii="Candara" w:eastAsia="华文楷体" w:hAnsi="Candara" w:cs="Times New Roman" w:hint="eastAsia"/>
                <w:sz w:val="24"/>
              </w:rPr>
              <w:t>现任北京大学新闻与传播学院副院长、新闻学系主任，北京大学文化与传播研究所所长，兼任中国记协理事、中国新闻史学会常务理事、中国新闻史学</w:t>
            </w:r>
            <w:proofErr w:type="gramStart"/>
            <w:r>
              <w:rPr>
                <w:rFonts w:ascii="Candara" w:eastAsia="华文楷体" w:hAnsi="Candara" w:cs="Times New Roman" w:hint="eastAsia"/>
                <w:sz w:val="24"/>
              </w:rPr>
              <w:t>会外国</w:t>
            </w:r>
            <w:proofErr w:type="gramEnd"/>
            <w:r>
              <w:rPr>
                <w:rFonts w:ascii="Candara" w:eastAsia="华文楷体" w:hAnsi="Candara" w:cs="Times New Roman" w:hint="eastAsia"/>
                <w:sz w:val="24"/>
              </w:rPr>
              <w:t>新闻传播史研究委员会副会长，《新闻春秋》杂志副主编。北京大学国际政治系本、硕，香港大学政治与公共行政系博士。曾赴美国、日本、韩国、瑞典、黎巴嫩、阿曼等多国参加学术交流，主要教学研究领域为跨国传播与国际关系；外国新闻传播历史与现状、媒体与两岸关系，讲授《媒体与国际关</w:t>
            </w:r>
            <w:r>
              <w:rPr>
                <w:rFonts w:ascii="Candara" w:eastAsia="华文楷体" w:hAnsi="Candara" w:cs="Times New Roman" w:hint="eastAsia"/>
                <w:sz w:val="24"/>
              </w:rPr>
              <w:lastRenderedPageBreak/>
              <w:t>系》、《全球化与传播》、《媒体与中国社会》、《世界新闻传播史》等课程。主持并完成多个国家部委课题，参与《我国对外传播文化软实力研究》、《百年未有之大变局下中国共产党形象全球传播与认同研究》等国家社科基金重大项目，多次担任中国新闻奖、长江</w:t>
            </w:r>
            <w:proofErr w:type="gramStart"/>
            <w:r>
              <w:rPr>
                <w:rFonts w:ascii="Candara" w:eastAsia="华文楷体" w:hAnsi="Candara" w:cs="Times New Roman" w:hint="eastAsia"/>
                <w:sz w:val="24"/>
              </w:rPr>
              <w:t>韬</w:t>
            </w:r>
            <w:proofErr w:type="gramEnd"/>
            <w:r>
              <w:rPr>
                <w:rFonts w:ascii="Candara" w:eastAsia="华文楷体" w:hAnsi="Candara" w:cs="Times New Roman" w:hint="eastAsia"/>
                <w:sz w:val="24"/>
              </w:rPr>
              <w:t>奋奖评委。</w:t>
            </w:r>
          </w:p>
        </w:tc>
      </w:tr>
    </w:tbl>
    <w:p w:rsidR="00C6695E" w:rsidRDefault="00C6695E" w:rsidP="00535D13">
      <w:pPr>
        <w:pStyle w:val="ListParagraph1"/>
        <w:adjustRightInd w:val="0"/>
        <w:snapToGrid w:val="0"/>
        <w:spacing w:beforeLines="100" w:before="312" w:line="400" w:lineRule="exact"/>
        <w:ind w:left="0"/>
        <w:contextualSpacing w:val="0"/>
        <w:jc w:val="left"/>
        <w:rPr>
          <w:rFonts w:ascii="华文楷体" w:eastAsia="华文楷体" w:hAnsi="华文楷体" w:cs="华文楷体"/>
          <w:b/>
          <w:bCs/>
          <w:sz w:val="32"/>
          <w:szCs w:val="32"/>
        </w:rPr>
      </w:pPr>
    </w:p>
    <w:sectPr w:rsidR="00C6695E" w:rsidSect="00C6695E">
      <w:headerReference w:type="default" r:id="rId16"/>
      <w:footerReference w:type="default" r:id="rId17"/>
      <w:pgSz w:w="11906" w:h="16838"/>
      <w:pgMar w:top="1440" w:right="1800" w:bottom="1440" w:left="1800" w:header="794" w:footer="41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89E" w:rsidRDefault="0076289E">
      <w:pPr>
        <w:spacing w:line="240" w:lineRule="auto"/>
      </w:pPr>
      <w:r>
        <w:separator/>
      </w:r>
    </w:p>
  </w:endnote>
  <w:endnote w:type="continuationSeparator" w:id="0">
    <w:p w:rsidR="0076289E" w:rsidRDefault="0076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iti SC Light">
    <w:altName w:val="微软雅黑"/>
    <w:charset w:val="50"/>
    <w:family w:val="auto"/>
    <w:pitch w:val="default"/>
    <w:sig w:usb0="00000000" w:usb1="00000000" w:usb2="00000010" w:usb3="00000000" w:csb0="003E0000" w:csb1="00000000"/>
  </w:font>
  <w:font w:name="Times">
    <w:altName w:val="Times New Roman"/>
    <w:panose1 w:val="02020603050405020304"/>
    <w:charset w:val="00"/>
    <w:family w:val="auto"/>
    <w:pitch w:val="default"/>
    <w:sig w:usb0="00000000"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 w:eastAsia="仿宋" w:hAnsi="仿宋"/>
        <w:sz w:val="22"/>
        <w:szCs w:val="22"/>
      </w:rPr>
      <w:id w:val="-1466808713"/>
    </w:sdtPr>
    <w:sdtEndPr/>
    <w:sdtContent>
      <w:sdt>
        <w:sdtPr>
          <w:rPr>
            <w:rFonts w:ascii="仿宋" w:eastAsia="仿宋" w:hAnsi="仿宋"/>
            <w:sz w:val="22"/>
            <w:szCs w:val="22"/>
          </w:rPr>
          <w:id w:val="-1769616900"/>
        </w:sdtPr>
        <w:sdtEndPr/>
        <w:sdtContent>
          <w:p w:rsidR="00C6695E" w:rsidRDefault="0085360B">
            <w:pPr>
              <w:pStyle w:val="a6"/>
              <w:jc w:val="center"/>
              <w:rPr>
                <w:rFonts w:ascii="仿宋" w:eastAsia="仿宋" w:hAnsi="仿宋"/>
                <w:sz w:val="22"/>
                <w:szCs w:val="22"/>
              </w:rPr>
            </w:pPr>
            <w:r>
              <w:rPr>
                <w:rFonts w:ascii="仿宋" w:eastAsia="仿宋" w:hAnsi="仿宋" w:hint="eastAsia"/>
                <w:sz w:val="22"/>
                <w:szCs w:val="22"/>
              </w:rPr>
              <w:t>第</w:t>
            </w:r>
            <w:r w:rsidR="00C6695E">
              <w:rPr>
                <w:rFonts w:ascii="仿宋" w:eastAsia="仿宋" w:hAnsi="仿宋"/>
                <w:sz w:val="22"/>
                <w:szCs w:val="22"/>
              </w:rPr>
              <w:fldChar w:fldCharType="begin"/>
            </w:r>
            <w:r>
              <w:rPr>
                <w:rFonts w:ascii="仿宋" w:eastAsia="仿宋" w:hAnsi="仿宋"/>
                <w:sz w:val="22"/>
                <w:szCs w:val="22"/>
              </w:rPr>
              <w:instrText xml:space="preserve"> PAGE </w:instrText>
            </w:r>
            <w:r w:rsidR="00C6695E">
              <w:rPr>
                <w:rFonts w:ascii="仿宋" w:eastAsia="仿宋" w:hAnsi="仿宋"/>
                <w:sz w:val="22"/>
                <w:szCs w:val="22"/>
              </w:rPr>
              <w:fldChar w:fldCharType="separate"/>
            </w:r>
            <w:r w:rsidR="00C30DBE">
              <w:rPr>
                <w:rFonts w:ascii="仿宋" w:eastAsia="仿宋" w:hAnsi="仿宋"/>
                <w:noProof/>
                <w:sz w:val="22"/>
                <w:szCs w:val="22"/>
              </w:rPr>
              <w:t>4</w:t>
            </w:r>
            <w:r w:rsidR="00C6695E">
              <w:rPr>
                <w:rFonts w:ascii="仿宋" w:eastAsia="仿宋" w:hAnsi="仿宋"/>
                <w:sz w:val="22"/>
                <w:szCs w:val="22"/>
              </w:rPr>
              <w:fldChar w:fldCharType="end"/>
            </w:r>
            <w:r>
              <w:rPr>
                <w:rFonts w:ascii="仿宋" w:eastAsia="仿宋" w:hAnsi="仿宋" w:hint="eastAsia"/>
                <w:sz w:val="22"/>
                <w:szCs w:val="22"/>
              </w:rPr>
              <w:t>页（共</w:t>
            </w:r>
            <w:r w:rsidR="00C6695E">
              <w:rPr>
                <w:rFonts w:ascii="仿宋" w:eastAsia="仿宋" w:hAnsi="仿宋"/>
                <w:sz w:val="22"/>
                <w:szCs w:val="22"/>
              </w:rPr>
              <w:fldChar w:fldCharType="begin"/>
            </w:r>
            <w:r>
              <w:rPr>
                <w:rFonts w:ascii="仿宋" w:eastAsia="仿宋" w:hAnsi="仿宋"/>
                <w:sz w:val="22"/>
                <w:szCs w:val="22"/>
              </w:rPr>
              <w:instrText xml:space="preserve"> NUMPAGES  </w:instrText>
            </w:r>
            <w:r w:rsidR="00C6695E">
              <w:rPr>
                <w:rFonts w:ascii="仿宋" w:eastAsia="仿宋" w:hAnsi="仿宋"/>
                <w:sz w:val="22"/>
                <w:szCs w:val="22"/>
              </w:rPr>
              <w:fldChar w:fldCharType="separate"/>
            </w:r>
            <w:r w:rsidR="00C30DBE">
              <w:rPr>
                <w:rFonts w:ascii="仿宋" w:eastAsia="仿宋" w:hAnsi="仿宋"/>
                <w:noProof/>
                <w:sz w:val="22"/>
                <w:szCs w:val="22"/>
              </w:rPr>
              <w:t>4</w:t>
            </w:r>
            <w:r w:rsidR="00C6695E">
              <w:rPr>
                <w:rFonts w:ascii="仿宋" w:eastAsia="仿宋" w:hAnsi="仿宋"/>
                <w:sz w:val="22"/>
                <w:szCs w:val="22"/>
              </w:rPr>
              <w:fldChar w:fldCharType="end"/>
            </w:r>
            <w:r>
              <w:rPr>
                <w:rFonts w:ascii="仿宋" w:eastAsia="仿宋" w:hAnsi="仿宋" w:hint="eastAsia"/>
                <w:sz w:val="22"/>
                <w:szCs w:val="22"/>
              </w:rPr>
              <w:t>页）</w:t>
            </w:r>
          </w:p>
        </w:sdtContent>
      </w:sdt>
    </w:sdtContent>
  </w:sdt>
  <w:p w:rsidR="00C6695E" w:rsidRDefault="00C669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89E" w:rsidRDefault="0076289E">
      <w:pPr>
        <w:spacing w:after="0"/>
      </w:pPr>
      <w:r>
        <w:separator/>
      </w:r>
    </w:p>
  </w:footnote>
  <w:footnote w:type="continuationSeparator" w:id="0">
    <w:p w:rsidR="0076289E" w:rsidRDefault="007628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5E" w:rsidRDefault="0085360B">
    <w:pPr>
      <w:pStyle w:val="a7"/>
      <w:pBdr>
        <w:bottom w:val="single" w:sz="4" w:space="1" w:color="C00000"/>
      </w:pBdr>
      <w:jc w:val="right"/>
      <w:rPr>
        <w:rFonts w:ascii="仿宋" w:eastAsia="仿宋" w:hAnsi="仿宋"/>
        <w:sz w:val="20"/>
        <w:szCs w:val="22"/>
      </w:rPr>
    </w:pPr>
    <w:r>
      <w:rPr>
        <w:rFonts w:ascii="仿宋" w:eastAsia="仿宋" w:hAnsi="仿宋" w:hint="eastAsia"/>
        <w:sz w:val="20"/>
        <w:szCs w:val="22"/>
      </w:rPr>
      <w:t>《新青年全球胜任力人才培养项目》师资简介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302F7"/>
    <w:multiLevelType w:val="singleLevel"/>
    <w:tmpl w:val="5EB302F7"/>
    <w:lvl w:ilvl="0">
      <w:start w:val="2"/>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HorizontalSpacing w:val="21"/>
  <w:drawingGridVerticalSpacing w:val="31"/>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mMTg0YjdmMGU3MTk2YjRiMGUwZTE1YWIwZmEwNWEifQ=="/>
  </w:docVars>
  <w:rsids>
    <w:rsidRoot w:val="EF4B9307"/>
    <w:rsid w:val="BFEDF3DB"/>
    <w:rsid w:val="EF4B9307"/>
    <w:rsid w:val="FB7B99DE"/>
    <w:rsid w:val="FF5F841A"/>
    <w:rsid w:val="00003739"/>
    <w:rsid w:val="00005ADD"/>
    <w:rsid w:val="0002681D"/>
    <w:rsid w:val="000328A1"/>
    <w:rsid w:val="00033334"/>
    <w:rsid w:val="000336AD"/>
    <w:rsid w:val="00050CC1"/>
    <w:rsid w:val="00071C06"/>
    <w:rsid w:val="000B767A"/>
    <w:rsid w:val="000D5D5C"/>
    <w:rsid w:val="000F40C4"/>
    <w:rsid w:val="00100190"/>
    <w:rsid w:val="00101C84"/>
    <w:rsid w:val="00103942"/>
    <w:rsid w:val="00105312"/>
    <w:rsid w:val="00180C93"/>
    <w:rsid w:val="00184154"/>
    <w:rsid w:val="001A4C17"/>
    <w:rsid w:val="001B374E"/>
    <w:rsid w:val="001B443D"/>
    <w:rsid w:val="001B4E87"/>
    <w:rsid w:val="001B5845"/>
    <w:rsid w:val="001C1A48"/>
    <w:rsid w:val="001E1B6F"/>
    <w:rsid w:val="001E6488"/>
    <w:rsid w:val="00212AED"/>
    <w:rsid w:val="00213C89"/>
    <w:rsid w:val="00225B63"/>
    <w:rsid w:val="002604CC"/>
    <w:rsid w:val="00262B6E"/>
    <w:rsid w:val="00263B40"/>
    <w:rsid w:val="002B63B1"/>
    <w:rsid w:val="002C13A5"/>
    <w:rsid w:val="002C412C"/>
    <w:rsid w:val="002C6410"/>
    <w:rsid w:val="00321D3E"/>
    <w:rsid w:val="00333BA4"/>
    <w:rsid w:val="00356ABC"/>
    <w:rsid w:val="00356F77"/>
    <w:rsid w:val="003621BF"/>
    <w:rsid w:val="00385049"/>
    <w:rsid w:val="00394855"/>
    <w:rsid w:val="0039508C"/>
    <w:rsid w:val="003C2066"/>
    <w:rsid w:val="003D3B35"/>
    <w:rsid w:val="003D7639"/>
    <w:rsid w:val="003E04F8"/>
    <w:rsid w:val="003F414C"/>
    <w:rsid w:val="0040354B"/>
    <w:rsid w:val="0041479B"/>
    <w:rsid w:val="00417649"/>
    <w:rsid w:val="004203F9"/>
    <w:rsid w:val="004272F1"/>
    <w:rsid w:val="0043798C"/>
    <w:rsid w:val="00447105"/>
    <w:rsid w:val="00455A67"/>
    <w:rsid w:val="004614CB"/>
    <w:rsid w:val="0046447F"/>
    <w:rsid w:val="00467846"/>
    <w:rsid w:val="00473C6F"/>
    <w:rsid w:val="00482267"/>
    <w:rsid w:val="00491927"/>
    <w:rsid w:val="004A0D6E"/>
    <w:rsid w:val="004A0FB7"/>
    <w:rsid w:val="004C04AD"/>
    <w:rsid w:val="004C5C50"/>
    <w:rsid w:val="004C6688"/>
    <w:rsid w:val="004E0E57"/>
    <w:rsid w:val="004E72E8"/>
    <w:rsid w:val="004F028D"/>
    <w:rsid w:val="00506AC6"/>
    <w:rsid w:val="00522FDD"/>
    <w:rsid w:val="005310AC"/>
    <w:rsid w:val="005332A4"/>
    <w:rsid w:val="00535D13"/>
    <w:rsid w:val="00537333"/>
    <w:rsid w:val="00544A85"/>
    <w:rsid w:val="0055109F"/>
    <w:rsid w:val="005615DB"/>
    <w:rsid w:val="00585717"/>
    <w:rsid w:val="00592A5E"/>
    <w:rsid w:val="005A0DA1"/>
    <w:rsid w:val="005B4023"/>
    <w:rsid w:val="005C49CE"/>
    <w:rsid w:val="005D513B"/>
    <w:rsid w:val="005D702F"/>
    <w:rsid w:val="005E45B8"/>
    <w:rsid w:val="006025F4"/>
    <w:rsid w:val="006508D7"/>
    <w:rsid w:val="0065339C"/>
    <w:rsid w:val="00676C54"/>
    <w:rsid w:val="00677CAB"/>
    <w:rsid w:val="00690493"/>
    <w:rsid w:val="006A0F48"/>
    <w:rsid w:val="006C74D3"/>
    <w:rsid w:val="006E6F7D"/>
    <w:rsid w:val="006F1939"/>
    <w:rsid w:val="007002F4"/>
    <w:rsid w:val="00712F63"/>
    <w:rsid w:val="007228EE"/>
    <w:rsid w:val="00731F23"/>
    <w:rsid w:val="0073733D"/>
    <w:rsid w:val="00743812"/>
    <w:rsid w:val="00751AC5"/>
    <w:rsid w:val="00752755"/>
    <w:rsid w:val="00753A77"/>
    <w:rsid w:val="00754769"/>
    <w:rsid w:val="007613C0"/>
    <w:rsid w:val="00761763"/>
    <w:rsid w:val="0076289E"/>
    <w:rsid w:val="00775136"/>
    <w:rsid w:val="00784769"/>
    <w:rsid w:val="00790EAA"/>
    <w:rsid w:val="007A759A"/>
    <w:rsid w:val="007C6A6D"/>
    <w:rsid w:val="007D1CA8"/>
    <w:rsid w:val="007D3794"/>
    <w:rsid w:val="007D6144"/>
    <w:rsid w:val="008051CF"/>
    <w:rsid w:val="0080644F"/>
    <w:rsid w:val="00813C0D"/>
    <w:rsid w:val="008237BA"/>
    <w:rsid w:val="0085360B"/>
    <w:rsid w:val="00857FA7"/>
    <w:rsid w:val="00863B02"/>
    <w:rsid w:val="008931AD"/>
    <w:rsid w:val="00896CD1"/>
    <w:rsid w:val="008B3FAC"/>
    <w:rsid w:val="008B7354"/>
    <w:rsid w:val="008C3DFD"/>
    <w:rsid w:val="008C59DD"/>
    <w:rsid w:val="008D25A0"/>
    <w:rsid w:val="008E5E36"/>
    <w:rsid w:val="00903E80"/>
    <w:rsid w:val="0091282F"/>
    <w:rsid w:val="00924D91"/>
    <w:rsid w:val="0095359B"/>
    <w:rsid w:val="00953AD6"/>
    <w:rsid w:val="009629D7"/>
    <w:rsid w:val="0099392C"/>
    <w:rsid w:val="009A760D"/>
    <w:rsid w:val="009B6984"/>
    <w:rsid w:val="009C6A67"/>
    <w:rsid w:val="009D15D1"/>
    <w:rsid w:val="009D4A3E"/>
    <w:rsid w:val="009F6A46"/>
    <w:rsid w:val="009F73A0"/>
    <w:rsid w:val="00A04899"/>
    <w:rsid w:val="00A13A31"/>
    <w:rsid w:val="00A3038F"/>
    <w:rsid w:val="00A428B0"/>
    <w:rsid w:val="00A45705"/>
    <w:rsid w:val="00A45DDE"/>
    <w:rsid w:val="00A74442"/>
    <w:rsid w:val="00A84812"/>
    <w:rsid w:val="00A971FF"/>
    <w:rsid w:val="00AA37BC"/>
    <w:rsid w:val="00AB0F26"/>
    <w:rsid w:val="00AD7974"/>
    <w:rsid w:val="00AE1FD8"/>
    <w:rsid w:val="00AF425A"/>
    <w:rsid w:val="00B1787D"/>
    <w:rsid w:val="00B20C06"/>
    <w:rsid w:val="00B23C26"/>
    <w:rsid w:val="00B254D2"/>
    <w:rsid w:val="00B439CE"/>
    <w:rsid w:val="00B471C9"/>
    <w:rsid w:val="00B63B37"/>
    <w:rsid w:val="00BA5F85"/>
    <w:rsid w:val="00BA772E"/>
    <w:rsid w:val="00BB1E5D"/>
    <w:rsid w:val="00BB1EA0"/>
    <w:rsid w:val="00BC2002"/>
    <w:rsid w:val="00BE4D1A"/>
    <w:rsid w:val="00BF0EC4"/>
    <w:rsid w:val="00BF71C0"/>
    <w:rsid w:val="00C01FF0"/>
    <w:rsid w:val="00C30DBE"/>
    <w:rsid w:val="00C4358E"/>
    <w:rsid w:val="00C44A27"/>
    <w:rsid w:val="00C60FB3"/>
    <w:rsid w:val="00C63298"/>
    <w:rsid w:val="00C6695E"/>
    <w:rsid w:val="00C670AB"/>
    <w:rsid w:val="00C71F59"/>
    <w:rsid w:val="00C76701"/>
    <w:rsid w:val="00C96CC3"/>
    <w:rsid w:val="00CB3966"/>
    <w:rsid w:val="00CB50AE"/>
    <w:rsid w:val="00CB5FDD"/>
    <w:rsid w:val="00CC016F"/>
    <w:rsid w:val="00CE5A42"/>
    <w:rsid w:val="00CF2280"/>
    <w:rsid w:val="00CF30FE"/>
    <w:rsid w:val="00D107F7"/>
    <w:rsid w:val="00D253E8"/>
    <w:rsid w:val="00D2788D"/>
    <w:rsid w:val="00D32372"/>
    <w:rsid w:val="00D45B08"/>
    <w:rsid w:val="00D552F5"/>
    <w:rsid w:val="00D554D7"/>
    <w:rsid w:val="00DA4FD1"/>
    <w:rsid w:val="00DB126E"/>
    <w:rsid w:val="00DB67FF"/>
    <w:rsid w:val="00DD5FC3"/>
    <w:rsid w:val="00E02B13"/>
    <w:rsid w:val="00E03429"/>
    <w:rsid w:val="00E068EA"/>
    <w:rsid w:val="00E21160"/>
    <w:rsid w:val="00E312EA"/>
    <w:rsid w:val="00E35D49"/>
    <w:rsid w:val="00E75F8C"/>
    <w:rsid w:val="00E81DD5"/>
    <w:rsid w:val="00E92E1D"/>
    <w:rsid w:val="00E93982"/>
    <w:rsid w:val="00ED1295"/>
    <w:rsid w:val="00ED353A"/>
    <w:rsid w:val="00EF516C"/>
    <w:rsid w:val="00F02894"/>
    <w:rsid w:val="00F521DE"/>
    <w:rsid w:val="00F62892"/>
    <w:rsid w:val="00F634FD"/>
    <w:rsid w:val="00F73419"/>
    <w:rsid w:val="00F73B79"/>
    <w:rsid w:val="00F962C6"/>
    <w:rsid w:val="00FA3F60"/>
    <w:rsid w:val="00FC5E51"/>
    <w:rsid w:val="02515A82"/>
    <w:rsid w:val="04455AD9"/>
    <w:rsid w:val="0476502A"/>
    <w:rsid w:val="05324418"/>
    <w:rsid w:val="062E2CC9"/>
    <w:rsid w:val="080C0DE8"/>
    <w:rsid w:val="09D41DD9"/>
    <w:rsid w:val="09ED2E9B"/>
    <w:rsid w:val="0B621B58"/>
    <w:rsid w:val="0B8A33E4"/>
    <w:rsid w:val="0BA23811"/>
    <w:rsid w:val="0BFA53FB"/>
    <w:rsid w:val="0C3152C1"/>
    <w:rsid w:val="0CBD0903"/>
    <w:rsid w:val="0CC47EE3"/>
    <w:rsid w:val="0CE62A84"/>
    <w:rsid w:val="0D0504FC"/>
    <w:rsid w:val="0D3B3F1D"/>
    <w:rsid w:val="11555351"/>
    <w:rsid w:val="128B14A3"/>
    <w:rsid w:val="13496B96"/>
    <w:rsid w:val="14B747F3"/>
    <w:rsid w:val="14D65F77"/>
    <w:rsid w:val="14DB04C0"/>
    <w:rsid w:val="15120D23"/>
    <w:rsid w:val="15D77CB5"/>
    <w:rsid w:val="16EA353D"/>
    <w:rsid w:val="194F322A"/>
    <w:rsid w:val="1A66082C"/>
    <w:rsid w:val="1AD734D7"/>
    <w:rsid w:val="1BAC6712"/>
    <w:rsid w:val="1BEA723A"/>
    <w:rsid w:val="1C2B4ACB"/>
    <w:rsid w:val="1DDB32DF"/>
    <w:rsid w:val="20AE1EB2"/>
    <w:rsid w:val="21463165"/>
    <w:rsid w:val="2355768F"/>
    <w:rsid w:val="23764890"/>
    <w:rsid w:val="23D4392F"/>
    <w:rsid w:val="23FF584D"/>
    <w:rsid w:val="2474743A"/>
    <w:rsid w:val="24AE4F17"/>
    <w:rsid w:val="257C53A7"/>
    <w:rsid w:val="27127645"/>
    <w:rsid w:val="27573D1D"/>
    <w:rsid w:val="29CD1CB6"/>
    <w:rsid w:val="2A461C17"/>
    <w:rsid w:val="2A6B0317"/>
    <w:rsid w:val="2B057BED"/>
    <w:rsid w:val="2C5F157F"/>
    <w:rsid w:val="2C646B95"/>
    <w:rsid w:val="2EE92D6A"/>
    <w:rsid w:val="2EFE1EAE"/>
    <w:rsid w:val="30664580"/>
    <w:rsid w:val="30C16364"/>
    <w:rsid w:val="349A13A6"/>
    <w:rsid w:val="355C48AD"/>
    <w:rsid w:val="356B2A3B"/>
    <w:rsid w:val="36511F38"/>
    <w:rsid w:val="365E6403"/>
    <w:rsid w:val="3772660A"/>
    <w:rsid w:val="38FF3FA9"/>
    <w:rsid w:val="39F87236"/>
    <w:rsid w:val="3A483652"/>
    <w:rsid w:val="3AB331C1"/>
    <w:rsid w:val="3ACC6031"/>
    <w:rsid w:val="3CBF4A61"/>
    <w:rsid w:val="3DBED8DB"/>
    <w:rsid w:val="3E3301DC"/>
    <w:rsid w:val="3E5E33AB"/>
    <w:rsid w:val="3EC90AE9"/>
    <w:rsid w:val="3F2F3033"/>
    <w:rsid w:val="3FD85478"/>
    <w:rsid w:val="40104C12"/>
    <w:rsid w:val="40247B9B"/>
    <w:rsid w:val="412557A5"/>
    <w:rsid w:val="412B2C60"/>
    <w:rsid w:val="41FA16D6"/>
    <w:rsid w:val="42213106"/>
    <w:rsid w:val="4260052D"/>
    <w:rsid w:val="429C453B"/>
    <w:rsid w:val="44720FB6"/>
    <w:rsid w:val="462F580E"/>
    <w:rsid w:val="47C00CCC"/>
    <w:rsid w:val="484F02A2"/>
    <w:rsid w:val="49014267"/>
    <w:rsid w:val="4A851D59"/>
    <w:rsid w:val="4B15783A"/>
    <w:rsid w:val="4B52260D"/>
    <w:rsid w:val="4BAD5A0B"/>
    <w:rsid w:val="4F2C60D0"/>
    <w:rsid w:val="4F2F68F5"/>
    <w:rsid w:val="507702EA"/>
    <w:rsid w:val="52F42171"/>
    <w:rsid w:val="55945546"/>
    <w:rsid w:val="55AC0AE1"/>
    <w:rsid w:val="56B53E85"/>
    <w:rsid w:val="56E46059"/>
    <w:rsid w:val="56FB3ACE"/>
    <w:rsid w:val="57926410"/>
    <w:rsid w:val="587B29B1"/>
    <w:rsid w:val="589E6B0C"/>
    <w:rsid w:val="59B63CDD"/>
    <w:rsid w:val="59C92871"/>
    <w:rsid w:val="5A47527D"/>
    <w:rsid w:val="5C367357"/>
    <w:rsid w:val="5C3B6288"/>
    <w:rsid w:val="5C846314"/>
    <w:rsid w:val="5DBB5D65"/>
    <w:rsid w:val="5E3B6EA6"/>
    <w:rsid w:val="5E6046BB"/>
    <w:rsid w:val="5FA65C5B"/>
    <w:rsid w:val="5FDC2C9E"/>
    <w:rsid w:val="61143C46"/>
    <w:rsid w:val="617C3A5E"/>
    <w:rsid w:val="61EC428A"/>
    <w:rsid w:val="62CE653B"/>
    <w:rsid w:val="65332685"/>
    <w:rsid w:val="65777E2D"/>
    <w:rsid w:val="65B65064"/>
    <w:rsid w:val="65E9368C"/>
    <w:rsid w:val="679D472E"/>
    <w:rsid w:val="67D42968"/>
    <w:rsid w:val="681E586F"/>
    <w:rsid w:val="68355837"/>
    <w:rsid w:val="691A5C56"/>
    <w:rsid w:val="69FF0F92"/>
    <w:rsid w:val="6B607F4C"/>
    <w:rsid w:val="6BB169FA"/>
    <w:rsid w:val="6DC20A4A"/>
    <w:rsid w:val="6DF350A8"/>
    <w:rsid w:val="6EA2191E"/>
    <w:rsid w:val="70390CA2"/>
    <w:rsid w:val="71704C61"/>
    <w:rsid w:val="727149A3"/>
    <w:rsid w:val="72FD4F18"/>
    <w:rsid w:val="738844E4"/>
    <w:rsid w:val="73C045A2"/>
    <w:rsid w:val="7400687D"/>
    <w:rsid w:val="74253AE1"/>
    <w:rsid w:val="753327DB"/>
    <w:rsid w:val="75866801"/>
    <w:rsid w:val="75C612F4"/>
    <w:rsid w:val="76852F5D"/>
    <w:rsid w:val="777C48AB"/>
    <w:rsid w:val="77BE31FA"/>
    <w:rsid w:val="77C43611"/>
    <w:rsid w:val="77CD43F6"/>
    <w:rsid w:val="7A931BCA"/>
    <w:rsid w:val="7B99C120"/>
    <w:rsid w:val="7DB303AF"/>
    <w:rsid w:val="7E445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95E"/>
    <w:pPr>
      <w:widowControl w:val="0"/>
      <w:spacing w:after="160" w:line="259" w:lineRule="auto"/>
      <w:jc w:val="both"/>
    </w:pPr>
    <w:rPr>
      <w:rFonts w:asciiTheme="minorHAnsi" w:eastAsiaTheme="minorEastAsia" w:hAnsiTheme="minorHAnsi" w:cstheme="minorBidi"/>
      <w:kern w:val="2"/>
      <w:sz w:val="21"/>
      <w:szCs w:val="24"/>
    </w:rPr>
  </w:style>
  <w:style w:type="paragraph" w:styleId="1">
    <w:name w:val="heading 1"/>
    <w:basedOn w:val="a"/>
    <w:next w:val="a"/>
    <w:qFormat/>
    <w:rsid w:val="00C6695E"/>
    <w:pPr>
      <w:spacing w:beforeAutospacing="1" w:after="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C6695E"/>
    <w:rPr>
      <w:rFonts w:asciiTheme="majorHAnsi" w:eastAsia="宋体" w:hAnsiTheme="majorHAnsi" w:cstheme="majorBidi"/>
      <w:sz w:val="20"/>
      <w:szCs w:val="20"/>
    </w:rPr>
  </w:style>
  <w:style w:type="paragraph" w:styleId="a4">
    <w:name w:val="Body Text Indent"/>
    <w:basedOn w:val="a"/>
    <w:qFormat/>
    <w:rsid w:val="00C6695E"/>
    <w:pPr>
      <w:spacing w:after="120"/>
      <w:ind w:leftChars="200" w:left="420"/>
    </w:pPr>
  </w:style>
  <w:style w:type="paragraph" w:styleId="a5">
    <w:name w:val="Balloon Text"/>
    <w:basedOn w:val="a"/>
    <w:link w:val="Char"/>
    <w:qFormat/>
    <w:rsid w:val="00C6695E"/>
    <w:pPr>
      <w:spacing w:after="0" w:line="240" w:lineRule="auto"/>
    </w:pPr>
    <w:rPr>
      <w:rFonts w:ascii="Heiti SC Light" w:eastAsia="Heiti SC Light"/>
      <w:sz w:val="18"/>
      <w:szCs w:val="18"/>
    </w:rPr>
  </w:style>
  <w:style w:type="paragraph" w:styleId="a6">
    <w:name w:val="footer"/>
    <w:basedOn w:val="a"/>
    <w:link w:val="Char0"/>
    <w:uiPriority w:val="99"/>
    <w:qFormat/>
    <w:rsid w:val="00C6695E"/>
    <w:pPr>
      <w:tabs>
        <w:tab w:val="center" w:pos="4320"/>
        <w:tab w:val="right" w:pos="8640"/>
      </w:tabs>
      <w:spacing w:after="0" w:line="240" w:lineRule="auto"/>
    </w:pPr>
  </w:style>
  <w:style w:type="paragraph" w:styleId="a7">
    <w:name w:val="header"/>
    <w:basedOn w:val="a"/>
    <w:link w:val="Char1"/>
    <w:qFormat/>
    <w:rsid w:val="00C6695E"/>
    <w:pPr>
      <w:tabs>
        <w:tab w:val="center" w:pos="4320"/>
        <w:tab w:val="right" w:pos="8640"/>
      </w:tabs>
      <w:spacing w:after="0" w:line="240" w:lineRule="auto"/>
    </w:pPr>
  </w:style>
  <w:style w:type="paragraph" w:styleId="a8">
    <w:name w:val="Normal (Web)"/>
    <w:basedOn w:val="a"/>
    <w:uiPriority w:val="99"/>
    <w:unhideWhenUsed/>
    <w:qFormat/>
    <w:rsid w:val="00C6695E"/>
    <w:pPr>
      <w:widowControl/>
      <w:spacing w:before="100" w:beforeAutospacing="1" w:after="100" w:afterAutospacing="1" w:line="240" w:lineRule="auto"/>
      <w:jc w:val="left"/>
    </w:pPr>
    <w:rPr>
      <w:rFonts w:ascii="Times" w:eastAsia="宋体" w:hAnsi="Times" w:cs="Times New Roman"/>
      <w:kern w:val="0"/>
      <w:sz w:val="20"/>
      <w:szCs w:val="20"/>
    </w:rPr>
  </w:style>
  <w:style w:type="table" w:styleId="a9">
    <w:name w:val="Table Grid"/>
    <w:basedOn w:val="a1"/>
    <w:qFormat/>
    <w:rsid w:val="00C66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C6695E"/>
    <w:rPr>
      <w:b/>
      <w:bCs/>
    </w:rPr>
  </w:style>
  <w:style w:type="character" w:styleId="ab">
    <w:name w:val="page number"/>
    <w:basedOn w:val="a0"/>
    <w:qFormat/>
    <w:rsid w:val="00C6695E"/>
  </w:style>
  <w:style w:type="character" w:styleId="ac">
    <w:name w:val="Hyperlink"/>
    <w:basedOn w:val="a0"/>
    <w:qFormat/>
    <w:rsid w:val="00C6695E"/>
    <w:rPr>
      <w:color w:val="0000FF"/>
      <w:u w:val="single"/>
    </w:rPr>
  </w:style>
  <w:style w:type="paragraph" w:customStyle="1" w:styleId="ListParagraph1">
    <w:name w:val="List Paragraph1"/>
    <w:basedOn w:val="a"/>
    <w:uiPriority w:val="34"/>
    <w:qFormat/>
    <w:rsid w:val="00C6695E"/>
    <w:pPr>
      <w:ind w:left="720"/>
      <w:contextualSpacing/>
    </w:pPr>
  </w:style>
  <w:style w:type="paragraph" w:styleId="ad">
    <w:name w:val="List Paragraph"/>
    <w:basedOn w:val="a"/>
    <w:uiPriority w:val="99"/>
    <w:qFormat/>
    <w:rsid w:val="00C6695E"/>
    <w:pPr>
      <w:ind w:left="720"/>
      <w:contextualSpacing/>
    </w:pPr>
  </w:style>
  <w:style w:type="character" w:customStyle="1" w:styleId="Char1">
    <w:name w:val="页眉 Char"/>
    <w:basedOn w:val="a0"/>
    <w:link w:val="a7"/>
    <w:qFormat/>
    <w:rsid w:val="00C6695E"/>
    <w:rPr>
      <w:rFonts w:asciiTheme="minorHAnsi" w:eastAsiaTheme="minorEastAsia" w:hAnsiTheme="minorHAnsi" w:cstheme="minorBidi"/>
      <w:kern w:val="2"/>
      <w:sz w:val="21"/>
      <w:szCs w:val="24"/>
    </w:rPr>
  </w:style>
  <w:style w:type="character" w:customStyle="1" w:styleId="Char0">
    <w:name w:val="页脚 Char"/>
    <w:basedOn w:val="a0"/>
    <w:link w:val="a6"/>
    <w:uiPriority w:val="99"/>
    <w:qFormat/>
    <w:rsid w:val="00C6695E"/>
    <w:rPr>
      <w:rFonts w:asciiTheme="minorHAnsi" w:eastAsiaTheme="minorEastAsia" w:hAnsiTheme="minorHAnsi" w:cstheme="minorBidi"/>
      <w:kern w:val="2"/>
      <w:sz w:val="21"/>
      <w:szCs w:val="24"/>
    </w:rPr>
  </w:style>
  <w:style w:type="character" w:customStyle="1" w:styleId="Char">
    <w:name w:val="批注框文本 Char"/>
    <w:basedOn w:val="a0"/>
    <w:link w:val="a5"/>
    <w:qFormat/>
    <w:rsid w:val="00C6695E"/>
    <w:rPr>
      <w:rFonts w:ascii="Heiti SC Light" w:eastAsia="Heiti SC Light"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E1ECF3-A5C9-4CBD-937A-62EEA380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sunkinsei</dc:creator>
  <cp:lastModifiedBy>张媛媛</cp:lastModifiedBy>
  <cp:revision>5</cp:revision>
  <cp:lastPrinted>2022-08-17T09:55:00Z</cp:lastPrinted>
  <dcterms:created xsi:type="dcterms:W3CDTF">2022-08-17T09:55:00Z</dcterms:created>
  <dcterms:modified xsi:type="dcterms:W3CDTF">2023-08-31T00:13:00Z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8C6B530E714E434183DC1EF31F18F915</vt:lpwstr>
  </property>
</Properties>
</file>